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E978F" w14:textId="5A1FE0A7" w:rsidR="00D83123" w:rsidRDefault="00000000">
      <w:pPr>
        <w:pStyle w:val="BodyText"/>
        <w:ind w:left="285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58FE575" wp14:editId="3C6284E2">
                <wp:simplePos x="0" y="0"/>
                <wp:positionH relativeFrom="page">
                  <wp:posOffset>5534155</wp:posOffset>
                </wp:positionH>
                <wp:positionV relativeFrom="page">
                  <wp:posOffset>6441075</wp:posOffset>
                </wp:positionV>
                <wp:extent cx="9525" cy="1270"/>
                <wp:effectExtent l="0" t="0" r="0" b="0"/>
                <wp:wrapNone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9394" y="0"/>
                              </a:moveTo>
                              <a:lnTo>
                                <a:pt x="0" y="0"/>
                              </a:lnTo>
                              <a:lnTo>
                                <a:pt x="93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3D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5" style="width:0.75pt;height:0.1pt;margin-top:507.15pt;margin-left:435.75pt;mso-position-horizontal-relative:page;mso-position-vertical-relative:page;mso-wrap-distance-bottom:0;mso-wrap-distance-left:0;mso-wrap-distance-right:0;mso-wrap-distance-top:0;mso-wrap-style:square;position:absolute;visibility:visible;v-text-anchor:top;z-index:251659264" coordsize="9525,1270" path="m9394,l,,9394,xe" fillcolor="#d3d3d3" stroked="f">
                <v:path arrowok="t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2A90A19A" wp14:editId="09946013">
            <wp:extent cx="2352675" cy="457200"/>
            <wp:effectExtent l="0" t="0" r="0" b="0"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E9790" w14:textId="77777777" w:rsidR="00D83123" w:rsidRDefault="00D83123">
      <w:pPr>
        <w:pStyle w:val="BodyText"/>
        <w:spacing w:before="1"/>
        <w:rPr>
          <w:rFonts w:ascii="Times New Roman"/>
          <w:sz w:val="36"/>
        </w:rPr>
      </w:pPr>
    </w:p>
    <w:p w14:paraId="5A0E9791" w14:textId="77777777" w:rsidR="00D83123" w:rsidRDefault="00000000">
      <w:pPr>
        <w:pStyle w:val="Title"/>
        <w:jc w:val="center"/>
      </w:pPr>
      <w:r>
        <w:rPr>
          <w:color w:val="1B1B1B"/>
          <w:u w:color="1B1B1B"/>
          <w:lang w:val="sq-AL"/>
        </w:rPr>
        <w:t>Shumat e Faturuara Përgjithësisht (AGB)</w:t>
      </w:r>
    </w:p>
    <w:p w14:paraId="5A0E9792" w14:textId="5009E8A7" w:rsidR="00D83123" w:rsidRDefault="00000000">
      <w:pPr>
        <w:pStyle w:val="Title"/>
        <w:spacing w:before="358"/>
        <w:ind w:left="120"/>
      </w:pPr>
      <w:r>
        <w:rPr>
          <w:color w:val="1B1B1B"/>
          <w:lang w:val="sq-AL"/>
        </w:rPr>
        <w:t xml:space="preserve">Llogaritja e AGB sipas </w:t>
      </w:r>
      <w:r w:rsidR="00BF4FBA">
        <w:rPr>
          <w:color w:val="1B1B1B"/>
          <w:lang w:val="sq-AL"/>
        </w:rPr>
        <w:t>m</w:t>
      </w:r>
      <w:r>
        <w:rPr>
          <w:color w:val="1B1B1B"/>
          <w:lang w:val="sq-AL"/>
        </w:rPr>
        <w:t>etodës “</w:t>
      </w:r>
      <w:r w:rsidR="00BF4FBA">
        <w:rPr>
          <w:i/>
          <w:iCs/>
          <w:color w:val="1B1B1B"/>
          <w:lang w:val="sq-AL"/>
        </w:rPr>
        <w:t>l</w:t>
      </w:r>
      <w:r w:rsidRPr="00BF4FBA">
        <w:rPr>
          <w:i/>
          <w:iCs/>
          <w:color w:val="1B1B1B"/>
          <w:lang w:val="sq-AL"/>
        </w:rPr>
        <w:t>ook-</w:t>
      </w:r>
      <w:r w:rsidR="00BF4FBA">
        <w:rPr>
          <w:i/>
          <w:iCs/>
          <w:color w:val="1B1B1B"/>
          <w:lang w:val="sq-AL"/>
        </w:rPr>
        <w:t>b</w:t>
      </w:r>
      <w:r w:rsidRPr="00BF4FBA">
        <w:rPr>
          <w:i/>
          <w:iCs/>
          <w:color w:val="1B1B1B"/>
          <w:lang w:val="sq-AL"/>
        </w:rPr>
        <w:t>ack</w:t>
      </w:r>
      <w:r>
        <w:rPr>
          <w:color w:val="1B1B1B"/>
          <w:lang w:val="sq-AL"/>
        </w:rPr>
        <w:t>”</w:t>
      </w:r>
    </w:p>
    <w:p w14:paraId="5A0E9794" w14:textId="3131C8F3" w:rsidR="00D83123" w:rsidRPr="007A7826" w:rsidRDefault="00000000" w:rsidP="00905B99">
      <w:pPr>
        <w:pStyle w:val="BodyText"/>
        <w:spacing w:before="152" w:line="276" w:lineRule="auto"/>
        <w:ind w:left="120"/>
        <w:rPr>
          <w:lang w:val="sq-AL"/>
        </w:rPr>
      </w:pPr>
      <w:r>
        <w:rPr>
          <w:color w:val="1B1B1B"/>
          <w:lang w:val="sq-AL"/>
        </w:rPr>
        <w:t xml:space="preserve">Në bazë të metodës së “look-back” për përcaktimin e AGB-së, një institucion spitalor e përcakton AGB-në për çdo kujdes të urgjencës ose kujdes tjetër mjekësor të nevojshëm, të ofruar për një individ që kualifikohet për FAP, duke shumëzuar </w:t>
      </w:r>
      <w:r w:rsidR="00905B99">
        <w:rPr>
          <w:color w:val="1B1B1B"/>
          <w:lang w:val="sq-AL"/>
        </w:rPr>
        <w:t>tarifimet</w:t>
      </w:r>
      <w:r>
        <w:rPr>
          <w:color w:val="1B1B1B"/>
          <w:lang w:val="sq-AL"/>
        </w:rPr>
        <w:t xml:space="preserve"> bruto të institucionit spitalor për atë kujdes me një ose më shumë përqindje të </w:t>
      </w:r>
      <w:r w:rsidR="009D603B">
        <w:rPr>
          <w:color w:val="1B1B1B"/>
          <w:lang w:val="sq-AL"/>
        </w:rPr>
        <w:t>tarifimeve</w:t>
      </w:r>
      <w:r>
        <w:rPr>
          <w:color w:val="1B1B1B"/>
          <w:lang w:val="sq-AL"/>
        </w:rPr>
        <w:t xml:space="preserve"> bruto, të njohura me emrin përqindjet e AGB-së. Institucionet spitalore duhet të llogarisin përqindjet e tyre të AGB-së të paktën një herë në vit, duke pjesëtuar shumën e të gjitha pretendimeve të tyre për kujdes të urgjencës ose kujdes tjetër mjekësor të nevojshëm që janë lejuar nga sigurues të caktuar shëndetësorë gjatë një periudhe 12-mujore të mëparshme, me shumën e tarifimeve bruto të bashkëlidhura me ato pretendime.  Spitali e llogarit AGB-në duke përdorur pretendimet nga Medicare dhe ato komerciale.</w:t>
      </w:r>
    </w:p>
    <w:p w14:paraId="5A0E9795" w14:textId="77777777" w:rsidR="00D83123" w:rsidRPr="007A7826" w:rsidRDefault="00000000">
      <w:pPr>
        <w:pStyle w:val="BodyText"/>
        <w:spacing w:before="51"/>
        <w:rPr>
          <w:sz w:val="20"/>
          <w:lang w:val="sq-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C366530" wp14:editId="6DD4A353">
                <wp:simplePos x="0" y="0"/>
                <wp:positionH relativeFrom="page">
                  <wp:posOffset>914400</wp:posOffset>
                </wp:positionH>
                <wp:positionV relativeFrom="paragraph">
                  <wp:posOffset>196640</wp:posOffset>
                </wp:positionV>
                <wp:extent cx="5819775" cy="1905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9775" h="19050">
                              <a:moveTo>
                                <a:pt x="0" y="19050"/>
                              </a:moveTo>
                              <a:lnTo>
                                <a:pt x="58197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style="width:458.25pt;height:1.5pt;margin-top:15.5pt;margin-left:1in;mso-position-horizontal-relative:page;mso-wrap-distance-bottom:0;mso-wrap-distance-left:0;mso-wrap-distance-right:0;mso-wrap-distance-top:0;mso-wrap-style:square;position:absolute;visibility:visible;v-text-anchor:top;z-index:-251653120" coordsize="5819775,19050" path="m,19050l5819775,e" filled="f">
                <v:path arrowok="t"/>
                <w10:wrap type="topAndBottom"/>
              </v:shape>
            </w:pict>
          </mc:Fallback>
        </mc:AlternateContent>
      </w:r>
    </w:p>
    <w:p w14:paraId="5A0E9796" w14:textId="77777777" w:rsidR="00D83123" w:rsidRPr="007A7826" w:rsidRDefault="00D83123">
      <w:pPr>
        <w:pStyle w:val="BodyText"/>
        <w:spacing w:before="91"/>
        <w:rPr>
          <w:lang w:val="sq-AL"/>
        </w:rPr>
      </w:pPr>
    </w:p>
    <w:p w14:paraId="5A0E9797" w14:textId="6CB0C47C" w:rsidR="00D83123" w:rsidRDefault="00000000">
      <w:pPr>
        <w:ind w:left="120"/>
        <w:rPr>
          <w:b/>
          <w:sz w:val="32"/>
        </w:rPr>
      </w:pPr>
      <w:r>
        <w:rPr>
          <w:b/>
          <w:bCs/>
          <w:color w:val="1B1B1B"/>
          <w:sz w:val="32"/>
          <w:szCs w:val="32"/>
          <w:highlight w:val="yellow"/>
          <w:lang w:val="sq-AL"/>
        </w:rPr>
        <w:t>Viti tatimor AGB 2024 (1 tetor 2023 – 30 shtator 2024)</w:t>
      </w:r>
    </w:p>
    <w:p w14:paraId="5A0E9798" w14:textId="13FA53EB" w:rsidR="00D83123" w:rsidRDefault="00000000">
      <w:pPr>
        <w:pStyle w:val="BodyText"/>
        <w:spacing w:before="35" w:after="1"/>
        <w:rPr>
          <w:b/>
          <w:sz w:val="20"/>
        </w:rPr>
      </w:pPr>
      <w:r w:rsidRPr="00542183">
        <w:rPr>
          <w:noProof/>
          <w:highlight w:val="yellow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18A8C89" wp14:editId="0B3E0E1C">
                <wp:simplePos x="0" y="0"/>
                <wp:positionH relativeFrom="page">
                  <wp:posOffset>7858125</wp:posOffset>
                </wp:positionH>
                <wp:positionV relativeFrom="page">
                  <wp:posOffset>4914900</wp:posOffset>
                </wp:positionV>
                <wp:extent cx="2296160" cy="1524000"/>
                <wp:effectExtent l="0" t="0" r="8890" b="0"/>
                <wp:wrapNone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6160" cy="152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0260" h="1524000">
                              <a:moveTo>
                                <a:pt x="0" y="1523964"/>
                              </a:moveTo>
                              <a:lnTo>
                                <a:pt x="4619755" y="1523964"/>
                              </a:lnTo>
                              <a:lnTo>
                                <a:pt x="4619755" y="0"/>
                              </a:lnTo>
                              <a:lnTo>
                                <a:pt x="0" y="0"/>
                              </a:lnTo>
                              <a:lnTo>
                                <a:pt x="0" y="15239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Graphic 2" o:spid="_x0000_s1027" style="width:180.8pt;height:120pt;margin-top:387pt;margin-left:618.75pt;mso-position-horizontal-relative:page;mso-position-vertical-relative:page;mso-width-percent:0;mso-width-relative:margin;mso-wrap-distance-bottom:0;mso-wrap-distance-left:0;mso-wrap-distance-right:0;mso-wrap-distance-top:0;mso-wrap-style:square;position:absolute;visibility:visible;v-text-anchor:top;z-index:251661312" coordsize="4620260,1524000" path="m,1523964l4619755,1523964l4619755,,,,,1523964xe" fillcolor="black" stroked="f">
                <v:path arrowok="t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4"/>
        <w:gridCol w:w="2017"/>
        <w:gridCol w:w="2073"/>
        <w:gridCol w:w="2336"/>
      </w:tblGrid>
      <w:tr w:rsidR="000F3D9F" w:rsidRPr="00CB3401" w14:paraId="167E999D" w14:textId="77777777" w:rsidTr="00F2155B">
        <w:tc>
          <w:tcPr>
            <w:tcW w:w="2924" w:type="dxa"/>
          </w:tcPr>
          <w:p w14:paraId="3BF30688" w14:textId="77777777" w:rsidR="000F3D9F" w:rsidRPr="00CB3401" w:rsidRDefault="000F3D9F" w:rsidP="00F2155B">
            <w:pPr>
              <w:rPr>
                <w:rFonts w:asciiTheme="majorHAnsi" w:hAnsiTheme="majorHAnsi"/>
              </w:rPr>
            </w:pPr>
            <w:r w:rsidRPr="00CB3401">
              <w:rPr>
                <w:rFonts w:asciiTheme="majorHAnsi" w:eastAsia="Aptos" w:hAnsiTheme="majorHAnsi" w:cs="Times New Roman"/>
                <w:lang w:val="sq-AL"/>
              </w:rPr>
              <w:t>Departamenti</w:t>
            </w:r>
          </w:p>
        </w:tc>
        <w:tc>
          <w:tcPr>
            <w:tcW w:w="2017" w:type="dxa"/>
          </w:tcPr>
          <w:p w14:paraId="754E6C2A" w14:textId="77777777" w:rsidR="000F3D9F" w:rsidRPr="00CB3401" w:rsidRDefault="000F3D9F" w:rsidP="00F2155B">
            <w:pPr>
              <w:rPr>
                <w:rFonts w:asciiTheme="majorHAnsi" w:hAnsiTheme="majorHAnsi"/>
              </w:rPr>
            </w:pPr>
            <w:r w:rsidRPr="00CB3401">
              <w:rPr>
                <w:rFonts w:asciiTheme="majorHAnsi" w:eastAsia="Aptos" w:hAnsiTheme="majorHAnsi" w:cs="Times New Roman"/>
                <w:lang w:val="sq-AL"/>
              </w:rPr>
              <w:t>Tarifimi gjithsej</w:t>
            </w:r>
          </w:p>
        </w:tc>
        <w:tc>
          <w:tcPr>
            <w:tcW w:w="2073" w:type="dxa"/>
          </w:tcPr>
          <w:p w14:paraId="5C988283" w14:textId="77777777" w:rsidR="000F3D9F" w:rsidRPr="00CB3401" w:rsidRDefault="000F3D9F" w:rsidP="00F2155B">
            <w:pPr>
              <w:rPr>
                <w:rFonts w:asciiTheme="majorHAnsi" w:hAnsiTheme="majorHAnsi"/>
              </w:rPr>
            </w:pPr>
            <w:r w:rsidRPr="00CB3401">
              <w:rPr>
                <w:rFonts w:asciiTheme="majorHAnsi" w:eastAsia="Aptos" w:hAnsiTheme="majorHAnsi" w:cs="Times New Roman"/>
                <w:lang w:val="sq-AL"/>
              </w:rPr>
              <w:t>Faturimi gjithsej</w:t>
            </w:r>
          </w:p>
        </w:tc>
        <w:tc>
          <w:tcPr>
            <w:tcW w:w="2336" w:type="dxa"/>
          </w:tcPr>
          <w:p w14:paraId="61D3D426" w14:textId="77777777" w:rsidR="000F3D9F" w:rsidRPr="00CB3401" w:rsidRDefault="000F3D9F" w:rsidP="00F2155B">
            <w:pPr>
              <w:rPr>
                <w:rFonts w:asciiTheme="majorHAnsi" w:hAnsiTheme="majorHAnsi"/>
              </w:rPr>
            </w:pPr>
            <w:r w:rsidRPr="00CB3401">
              <w:rPr>
                <w:rFonts w:asciiTheme="majorHAnsi" w:eastAsia="Aptos" w:hAnsiTheme="majorHAnsi" w:cs="Times New Roman"/>
                <w:lang w:val="sq-AL"/>
              </w:rPr>
              <w:t>Përqindja e AGB-së (Zbritja)</w:t>
            </w:r>
          </w:p>
        </w:tc>
      </w:tr>
      <w:tr w:rsidR="000F3D9F" w:rsidRPr="00CB3401" w14:paraId="464ADF51" w14:textId="77777777" w:rsidTr="00F2155B">
        <w:tc>
          <w:tcPr>
            <w:tcW w:w="2924" w:type="dxa"/>
          </w:tcPr>
          <w:p w14:paraId="11D7CD6B" w14:textId="77777777" w:rsidR="000F3D9F" w:rsidRPr="00CB3401" w:rsidRDefault="000F3D9F" w:rsidP="00F2155B">
            <w:pPr>
              <w:rPr>
                <w:rFonts w:asciiTheme="majorHAnsi" w:hAnsiTheme="majorHAnsi"/>
              </w:rPr>
            </w:pPr>
            <w:r w:rsidRPr="00CB3401">
              <w:rPr>
                <w:rFonts w:asciiTheme="majorHAnsi" w:eastAsia="Aptos" w:hAnsiTheme="majorHAnsi" w:cs="Times New Roman"/>
                <w:lang w:val="sq-AL"/>
              </w:rPr>
              <w:t>Të gjitha shërbimet e tjera</w:t>
            </w:r>
          </w:p>
        </w:tc>
        <w:tc>
          <w:tcPr>
            <w:tcW w:w="2017" w:type="dxa"/>
          </w:tcPr>
          <w:p w14:paraId="1EF029E3" w14:textId="77777777" w:rsidR="000F3D9F" w:rsidRPr="00CB3401" w:rsidRDefault="000F3D9F" w:rsidP="00F2155B">
            <w:pPr>
              <w:rPr>
                <w:rFonts w:asciiTheme="majorHAnsi" w:hAnsiTheme="majorHAnsi"/>
              </w:rPr>
            </w:pPr>
            <w:r w:rsidRPr="00CB3401">
              <w:rPr>
                <w:rFonts w:asciiTheme="majorHAnsi" w:hAnsiTheme="majorHAnsi"/>
              </w:rPr>
              <w:t>$1,585,676,714</w:t>
            </w:r>
          </w:p>
        </w:tc>
        <w:tc>
          <w:tcPr>
            <w:tcW w:w="2073" w:type="dxa"/>
          </w:tcPr>
          <w:p w14:paraId="7E839CCA" w14:textId="77777777" w:rsidR="000F3D9F" w:rsidRPr="00CB3401" w:rsidRDefault="000F3D9F" w:rsidP="00F2155B">
            <w:pPr>
              <w:rPr>
                <w:rFonts w:asciiTheme="majorHAnsi" w:hAnsiTheme="majorHAnsi"/>
              </w:rPr>
            </w:pPr>
            <w:r w:rsidRPr="00CB3401">
              <w:rPr>
                <w:rFonts w:asciiTheme="majorHAnsi" w:hAnsiTheme="majorHAnsi"/>
              </w:rPr>
              <w:t xml:space="preserve">$362,009,182 </w:t>
            </w:r>
          </w:p>
        </w:tc>
        <w:tc>
          <w:tcPr>
            <w:tcW w:w="2336" w:type="dxa"/>
          </w:tcPr>
          <w:p w14:paraId="1A22DB7C" w14:textId="77777777" w:rsidR="000F3D9F" w:rsidRPr="00CB3401" w:rsidRDefault="000F3D9F" w:rsidP="00F2155B">
            <w:pPr>
              <w:rPr>
                <w:rFonts w:asciiTheme="majorHAnsi" w:hAnsiTheme="majorHAnsi"/>
              </w:rPr>
            </w:pPr>
            <w:r w:rsidRPr="00CB3401">
              <w:rPr>
                <w:rFonts w:asciiTheme="majorHAnsi" w:hAnsiTheme="majorHAnsi"/>
              </w:rPr>
              <w:t>77%</w:t>
            </w:r>
          </w:p>
        </w:tc>
      </w:tr>
      <w:tr w:rsidR="000F3D9F" w:rsidRPr="00CB3401" w14:paraId="538B1267" w14:textId="77777777" w:rsidTr="00F2155B">
        <w:tc>
          <w:tcPr>
            <w:tcW w:w="2924" w:type="dxa"/>
          </w:tcPr>
          <w:p w14:paraId="4165F3E7" w14:textId="77777777" w:rsidR="000F3D9F" w:rsidRPr="00CB3401" w:rsidRDefault="000F3D9F" w:rsidP="00F2155B">
            <w:pPr>
              <w:rPr>
                <w:rFonts w:asciiTheme="majorHAnsi" w:hAnsiTheme="majorHAnsi"/>
              </w:rPr>
            </w:pPr>
            <w:r w:rsidRPr="00CB3401">
              <w:rPr>
                <w:rFonts w:asciiTheme="majorHAnsi" w:eastAsia="Aptos" w:hAnsiTheme="majorHAnsi" w:cs="Times New Roman"/>
                <w:lang w:val="sq-AL"/>
              </w:rPr>
              <w:t>Urgjenca</w:t>
            </w:r>
          </w:p>
        </w:tc>
        <w:tc>
          <w:tcPr>
            <w:tcW w:w="2017" w:type="dxa"/>
          </w:tcPr>
          <w:p w14:paraId="7F4AB7B6" w14:textId="77777777" w:rsidR="000F3D9F" w:rsidRPr="00CB3401" w:rsidRDefault="000F3D9F" w:rsidP="00F2155B">
            <w:pPr>
              <w:rPr>
                <w:rFonts w:asciiTheme="majorHAnsi" w:hAnsiTheme="majorHAnsi"/>
              </w:rPr>
            </w:pPr>
            <w:r w:rsidRPr="00CB3401">
              <w:rPr>
                <w:rFonts w:asciiTheme="majorHAnsi" w:hAnsiTheme="majorHAnsi"/>
              </w:rPr>
              <w:t>$397,103,906</w:t>
            </w:r>
          </w:p>
        </w:tc>
        <w:tc>
          <w:tcPr>
            <w:tcW w:w="2073" w:type="dxa"/>
          </w:tcPr>
          <w:p w14:paraId="7076B64D" w14:textId="77777777" w:rsidR="000F3D9F" w:rsidRPr="00CB3401" w:rsidRDefault="000F3D9F" w:rsidP="00F2155B">
            <w:pPr>
              <w:rPr>
                <w:rFonts w:asciiTheme="majorHAnsi" w:hAnsiTheme="majorHAnsi"/>
              </w:rPr>
            </w:pPr>
            <w:r w:rsidRPr="00CB3401">
              <w:rPr>
                <w:rFonts w:asciiTheme="majorHAnsi" w:hAnsiTheme="majorHAnsi"/>
              </w:rPr>
              <w:t xml:space="preserve">$75,900,759 </w:t>
            </w:r>
          </w:p>
        </w:tc>
        <w:tc>
          <w:tcPr>
            <w:tcW w:w="2336" w:type="dxa"/>
          </w:tcPr>
          <w:p w14:paraId="153CAB7A" w14:textId="77777777" w:rsidR="000F3D9F" w:rsidRPr="00CB3401" w:rsidRDefault="000F3D9F" w:rsidP="00F2155B">
            <w:pPr>
              <w:rPr>
                <w:rFonts w:asciiTheme="majorHAnsi" w:hAnsiTheme="majorHAnsi"/>
              </w:rPr>
            </w:pPr>
            <w:r w:rsidRPr="00CB3401">
              <w:rPr>
                <w:rFonts w:asciiTheme="majorHAnsi" w:hAnsiTheme="majorHAnsi"/>
              </w:rPr>
              <w:t>81%</w:t>
            </w:r>
          </w:p>
        </w:tc>
      </w:tr>
      <w:tr w:rsidR="000F3D9F" w:rsidRPr="00CB3401" w14:paraId="32BC4E58" w14:textId="77777777" w:rsidTr="00F2155B">
        <w:tc>
          <w:tcPr>
            <w:tcW w:w="2924" w:type="dxa"/>
          </w:tcPr>
          <w:p w14:paraId="194DE445" w14:textId="77777777" w:rsidR="000F3D9F" w:rsidRPr="00CB3401" w:rsidRDefault="000F3D9F" w:rsidP="00F2155B">
            <w:pPr>
              <w:rPr>
                <w:rFonts w:asciiTheme="majorHAnsi" w:hAnsiTheme="majorHAnsi"/>
              </w:rPr>
            </w:pPr>
            <w:r w:rsidRPr="00CB3401">
              <w:rPr>
                <w:rFonts w:asciiTheme="majorHAnsi" w:eastAsia="Aptos" w:hAnsiTheme="majorHAnsi" w:cs="Times New Roman"/>
                <w:lang w:val="sq-AL"/>
              </w:rPr>
              <w:t>Laboratori</w:t>
            </w:r>
          </w:p>
        </w:tc>
        <w:tc>
          <w:tcPr>
            <w:tcW w:w="2017" w:type="dxa"/>
          </w:tcPr>
          <w:p w14:paraId="5C3ADF4A" w14:textId="77777777" w:rsidR="000F3D9F" w:rsidRPr="00CB3401" w:rsidRDefault="000F3D9F" w:rsidP="00F2155B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Theme="majorHAnsi" w:hAnsiTheme="majorHAnsi"/>
              </w:rPr>
            </w:pPr>
            <w:r w:rsidRPr="00CB3401">
              <w:rPr>
                <w:rFonts w:asciiTheme="majorHAnsi" w:hAnsiTheme="majorHAnsi"/>
              </w:rPr>
              <w:t>$167,593,447</w:t>
            </w:r>
          </w:p>
        </w:tc>
        <w:tc>
          <w:tcPr>
            <w:tcW w:w="2073" w:type="dxa"/>
          </w:tcPr>
          <w:p w14:paraId="59950AE0" w14:textId="77777777" w:rsidR="000F3D9F" w:rsidRPr="00CB3401" w:rsidRDefault="000F3D9F" w:rsidP="00F2155B">
            <w:pPr>
              <w:rPr>
                <w:rFonts w:asciiTheme="majorHAnsi" w:hAnsiTheme="majorHAnsi"/>
              </w:rPr>
            </w:pPr>
            <w:r w:rsidRPr="00CB3401">
              <w:rPr>
                <w:rFonts w:asciiTheme="majorHAnsi" w:hAnsiTheme="majorHAnsi"/>
              </w:rPr>
              <w:t xml:space="preserve">$12,636,543 </w:t>
            </w:r>
          </w:p>
        </w:tc>
        <w:tc>
          <w:tcPr>
            <w:tcW w:w="2336" w:type="dxa"/>
          </w:tcPr>
          <w:p w14:paraId="45CF09EB" w14:textId="77777777" w:rsidR="000F3D9F" w:rsidRPr="00CB3401" w:rsidRDefault="000F3D9F" w:rsidP="00F2155B">
            <w:pPr>
              <w:rPr>
                <w:rFonts w:asciiTheme="majorHAnsi" w:hAnsiTheme="majorHAnsi"/>
              </w:rPr>
            </w:pPr>
            <w:r w:rsidRPr="00CB3401">
              <w:rPr>
                <w:rFonts w:asciiTheme="majorHAnsi" w:hAnsiTheme="majorHAnsi"/>
              </w:rPr>
              <w:t>92%</w:t>
            </w:r>
          </w:p>
        </w:tc>
      </w:tr>
      <w:tr w:rsidR="000F3D9F" w:rsidRPr="00CB3401" w14:paraId="41C9FBD2" w14:textId="77777777" w:rsidTr="00F2155B">
        <w:tc>
          <w:tcPr>
            <w:tcW w:w="2924" w:type="dxa"/>
          </w:tcPr>
          <w:p w14:paraId="7D1654DD" w14:textId="77777777" w:rsidR="000F3D9F" w:rsidRPr="00CB3401" w:rsidRDefault="000F3D9F" w:rsidP="00F2155B">
            <w:pPr>
              <w:rPr>
                <w:rFonts w:asciiTheme="majorHAnsi" w:hAnsiTheme="majorHAnsi"/>
              </w:rPr>
            </w:pPr>
            <w:r w:rsidRPr="00CB3401">
              <w:rPr>
                <w:rFonts w:asciiTheme="majorHAnsi" w:eastAsia="Aptos" w:hAnsiTheme="majorHAnsi" w:cs="Times New Roman"/>
                <w:lang w:val="sq-AL"/>
              </w:rPr>
              <w:t>Onkologjia mjekësore</w:t>
            </w:r>
          </w:p>
        </w:tc>
        <w:tc>
          <w:tcPr>
            <w:tcW w:w="2017" w:type="dxa"/>
          </w:tcPr>
          <w:p w14:paraId="5CC2ACC0" w14:textId="77777777" w:rsidR="000F3D9F" w:rsidRPr="00CB3401" w:rsidRDefault="000F3D9F" w:rsidP="00F2155B">
            <w:pPr>
              <w:rPr>
                <w:rFonts w:asciiTheme="majorHAnsi" w:hAnsiTheme="majorHAnsi"/>
              </w:rPr>
            </w:pPr>
            <w:r w:rsidRPr="00CB3401">
              <w:rPr>
                <w:rFonts w:asciiTheme="majorHAnsi" w:hAnsiTheme="majorHAnsi"/>
              </w:rPr>
              <w:t>$294,254,027</w:t>
            </w:r>
          </w:p>
        </w:tc>
        <w:tc>
          <w:tcPr>
            <w:tcW w:w="2073" w:type="dxa"/>
          </w:tcPr>
          <w:p w14:paraId="336A355E" w14:textId="77777777" w:rsidR="000F3D9F" w:rsidRPr="00CB3401" w:rsidRDefault="000F3D9F" w:rsidP="00F2155B">
            <w:pPr>
              <w:rPr>
                <w:rFonts w:asciiTheme="majorHAnsi" w:hAnsiTheme="majorHAnsi"/>
              </w:rPr>
            </w:pPr>
            <w:r w:rsidRPr="00CB3401">
              <w:rPr>
                <w:rFonts w:asciiTheme="majorHAnsi" w:hAnsiTheme="majorHAnsi"/>
              </w:rPr>
              <w:t xml:space="preserve">$55,251,245 </w:t>
            </w:r>
          </w:p>
        </w:tc>
        <w:tc>
          <w:tcPr>
            <w:tcW w:w="2336" w:type="dxa"/>
          </w:tcPr>
          <w:p w14:paraId="0C8E150B" w14:textId="77777777" w:rsidR="000F3D9F" w:rsidRPr="00CB3401" w:rsidRDefault="000F3D9F" w:rsidP="00F2155B">
            <w:pPr>
              <w:rPr>
                <w:rFonts w:asciiTheme="majorHAnsi" w:hAnsiTheme="majorHAnsi"/>
              </w:rPr>
            </w:pPr>
            <w:r w:rsidRPr="00CB3401">
              <w:rPr>
                <w:rFonts w:asciiTheme="majorHAnsi" w:hAnsiTheme="majorHAnsi"/>
              </w:rPr>
              <w:t>81%</w:t>
            </w:r>
          </w:p>
        </w:tc>
      </w:tr>
      <w:tr w:rsidR="000F3D9F" w:rsidRPr="00CB3401" w14:paraId="15FED13C" w14:textId="77777777" w:rsidTr="00F2155B">
        <w:tc>
          <w:tcPr>
            <w:tcW w:w="2924" w:type="dxa"/>
          </w:tcPr>
          <w:p w14:paraId="7CCE834C" w14:textId="77777777" w:rsidR="000F3D9F" w:rsidRPr="00CB3401" w:rsidRDefault="000F3D9F" w:rsidP="00F2155B">
            <w:pPr>
              <w:rPr>
                <w:rFonts w:asciiTheme="majorHAnsi" w:hAnsiTheme="majorHAnsi"/>
              </w:rPr>
            </w:pPr>
            <w:r w:rsidRPr="00CB3401">
              <w:rPr>
                <w:rFonts w:asciiTheme="majorHAnsi" w:eastAsia="Aptos" w:hAnsiTheme="majorHAnsi" w:cs="Times New Roman"/>
                <w:lang w:val="sq-AL"/>
              </w:rPr>
              <w:t>Kirurgjia ambulatore</w:t>
            </w:r>
          </w:p>
        </w:tc>
        <w:tc>
          <w:tcPr>
            <w:tcW w:w="2017" w:type="dxa"/>
          </w:tcPr>
          <w:p w14:paraId="198FFCEA" w14:textId="77777777" w:rsidR="000F3D9F" w:rsidRPr="00CB3401" w:rsidRDefault="000F3D9F" w:rsidP="00F2155B">
            <w:pPr>
              <w:rPr>
                <w:rFonts w:asciiTheme="majorHAnsi" w:hAnsiTheme="majorHAnsi"/>
              </w:rPr>
            </w:pPr>
            <w:r w:rsidRPr="00CB3401">
              <w:rPr>
                <w:rFonts w:asciiTheme="majorHAnsi" w:hAnsiTheme="majorHAnsi"/>
              </w:rPr>
              <w:t>$606,662,883</w:t>
            </w:r>
          </w:p>
        </w:tc>
        <w:tc>
          <w:tcPr>
            <w:tcW w:w="2073" w:type="dxa"/>
          </w:tcPr>
          <w:p w14:paraId="43E64BB0" w14:textId="77777777" w:rsidR="000F3D9F" w:rsidRPr="00CB3401" w:rsidRDefault="000F3D9F" w:rsidP="00F2155B">
            <w:pPr>
              <w:rPr>
                <w:rFonts w:asciiTheme="majorHAnsi" w:hAnsiTheme="majorHAnsi"/>
              </w:rPr>
            </w:pPr>
            <w:r w:rsidRPr="00CB3401">
              <w:rPr>
                <w:rFonts w:asciiTheme="majorHAnsi" w:hAnsiTheme="majorHAnsi"/>
              </w:rPr>
              <w:t xml:space="preserve">$157,693,998 </w:t>
            </w:r>
          </w:p>
        </w:tc>
        <w:tc>
          <w:tcPr>
            <w:tcW w:w="2336" w:type="dxa"/>
          </w:tcPr>
          <w:p w14:paraId="74F27EFE" w14:textId="77777777" w:rsidR="000F3D9F" w:rsidRPr="00CB3401" w:rsidRDefault="000F3D9F" w:rsidP="00F2155B">
            <w:pPr>
              <w:rPr>
                <w:rFonts w:asciiTheme="majorHAnsi" w:hAnsiTheme="majorHAnsi"/>
              </w:rPr>
            </w:pPr>
            <w:r w:rsidRPr="00CB3401">
              <w:rPr>
                <w:rFonts w:asciiTheme="majorHAnsi" w:hAnsiTheme="majorHAnsi"/>
              </w:rPr>
              <w:t>74%</w:t>
            </w:r>
          </w:p>
        </w:tc>
      </w:tr>
      <w:tr w:rsidR="000F3D9F" w:rsidRPr="00CB3401" w14:paraId="5B6387BD" w14:textId="77777777" w:rsidTr="00F2155B">
        <w:tc>
          <w:tcPr>
            <w:tcW w:w="2924" w:type="dxa"/>
          </w:tcPr>
          <w:p w14:paraId="6BADA11E" w14:textId="77777777" w:rsidR="000F3D9F" w:rsidRPr="00CB3401" w:rsidRDefault="000F3D9F" w:rsidP="00F2155B">
            <w:pPr>
              <w:rPr>
                <w:rFonts w:asciiTheme="majorHAnsi" w:hAnsiTheme="majorHAnsi"/>
              </w:rPr>
            </w:pPr>
            <w:r w:rsidRPr="00CB3401">
              <w:rPr>
                <w:rFonts w:asciiTheme="majorHAnsi" w:eastAsia="Aptos" w:hAnsiTheme="majorHAnsi" w:cs="Times New Roman"/>
                <w:lang w:val="sq-AL"/>
              </w:rPr>
              <w:t>Radiologjia</w:t>
            </w:r>
          </w:p>
        </w:tc>
        <w:tc>
          <w:tcPr>
            <w:tcW w:w="2017" w:type="dxa"/>
          </w:tcPr>
          <w:p w14:paraId="7F0AF02F" w14:textId="77777777" w:rsidR="000F3D9F" w:rsidRPr="00CB3401" w:rsidRDefault="000F3D9F" w:rsidP="00F2155B">
            <w:pPr>
              <w:rPr>
                <w:rFonts w:asciiTheme="majorHAnsi" w:hAnsiTheme="majorHAnsi"/>
              </w:rPr>
            </w:pPr>
            <w:r w:rsidRPr="00CB3401">
              <w:rPr>
                <w:rFonts w:asciiTheme="majorHAnsi" w:hAnsiTheme="majorHAnsi"/>
              </w:rPr>
              <w:t>$370,347,428</w:t>
            </w:r>
          </w:p>
        </w:tc>
        <w:tc>
          <w:tcPr>
            <w:tcW w:w="2073" w:type="dxa"/>
          </w:tcPr>
          <w:p w14:paraId="61AD37AE" w14:textId="77777777" w:rsidR="000F3D9F" w:rsidRPr="00CB3401" w:rsidRDefault="000F3D9F" w:rsidP="00F2155B">
            <w:pPr>
              <w:rPr>
                <w:rFonts w:asciiTheme="majorHAnsi" w:hAnsiTheme="majorHAnsi"/>
              </w:rPr>
            </w:pPr>
            <w:r w:rsidRPr="00CB3401">
              <w:rPr>
                <w:rFonts w:asciiTheme="majorHAnsi" w:hAnsiTheme="majorHAnsi"/>
              </w:rPr>
              <w:t xml:space="preserve">$63,649,190 </w:t>
            </w:r>
          </w:p>
        </w:tc>
        <w:tc>
          <w:tcPr>
            <w:tcW w:w="2336" w:type="dxa"/>
          </w:tcPr>
          <w:p w14:paraId="4D3DEABF" w14:textId="77777777" w:rsidR="000F3D9F" w:rsidRPr="00CB3401" w:rsidRDefault="000F3D9F" w:rsidP="00F2155B">
            <w:pPr>
              <w:rPr>
                <w:rFonts w:asciiTheme="majorHAnsi" w:hAnsiTheme="majorHAnsi"/>
              </w:rPr>
            </w:pPr>
            <w:r w:rsidRPr="00CB3401">
              <w:rPr>
                <w:rFonts w:asciiTheme="majorHAnsi" w:hAnsiTheme="majorHAnsi"/>
              </w:rPr>
              <w:t>83%</w:t>
            </w:r>
          </w:p>
        </w:tc>
      </w:tr>
      <w:tr w:rsidR="000F3D9F" w:rsidRPr="00CB3401" w14:paraId="3D154713" w14:textId="77777777" w:rsidTr="00F2155B">
        <w:tc>
          <w:tcPr>
            <w:tcW w:w="2924" w:type="dxa"/>
          </w:tcPr>
          <w:p w14:paraId="145B3C26" w14:textId="77777777" w:rsidR="000F3D9F" w:rsidRPr="00CB3401" w:rsidRDefault="000F3D9F" w:rsidP="00F2155B">
            <w:pPr>
              <w:rPr>
                <w:rFonts w:asciiTheme="majorHAnsi" w:eastAsia="Aptos" w:hAnsiTheme="majorHAnsi" w:cs="Times New Roman"/>
                <w:lang w:val="sq-AL"/>
              </w:rPr>
            </w:pPr>
            <w:proofErr w:type="spellStart"/>
            <w:r w:rsidRPr="00CB3401">
              <w:rPr>
                <w:rFonts w:asciiTheme="majorHAnsi" w:hAnsiTheme="majorHAnsi"/>
                <w:b/>
                <w:bCs/>
              </w:rPr>
              <w:t>Totali</w:t>
            </w:r>
            <w:proofErr w:type="spellEnd"/>
          </w:p>
        </w:tc>
        <w:tc>
          <w:tcPr>
            <w:tcW w:w="2017" w:type="dxa"/>
          </w:tcPr>
          <w:p w14:paraId="0B1F3328" w14:textId="77777777" w:rsidR="000F3D9F" w:rsidRPr="00CB3401" w:rsidRDefault="000F3D9F" w:rsidP="00F2155B">
            <w:pPr>
              <w:rPr>
                <w:rFonts w:asciiTheme="majorHAnsi" w:hAnsiTheme="majorHAnsi"/>
              </w:rPr>
            </w:pPr>
            <w:r w:rsidRPr="00CB3401">
              <w:rPr>
                <w:rFonts w:asciiTheme="majorHAnsi" w:hAnsiTheme="majorHAnsi"/>
                <w:b/>
                <w:bCs/>
              </w:rPr>
              <w:t>$3,421,638,405</w:t>
            </w:r>
          </w:p>
        </w:tc>
        <w:tc>
          <w:tcPr>
            <w:tcW w:w="2073" w:type="dxa"/>
          </w:tcPr>
          <w:p w14:paraId="46FA4598" w14:textId="77777777" w:rsidR="000F3D9F" w:rsidRPr="00CB3401" w:rsidRDefault="000F3D9F" w:rsidP="00F2155B">
            <w:pPr>
              <w:rPr>
                <w:rFonts w:asciiTheme="majorHAnsi" w:hAnsiTheme="majorHAnsi"/>
              </w:rPr>
            </w:pPr>
            <w:r w:rsidRPr="00CB3401">
              <w:rPr>
                <w:rFonts w:asciiTheme="majorHAnsi" w:hAnsiTheme="majorHAnsi"/>
                <w:b/>
                <w:bCs/>
              </w:rPr>
              <w:t xml:space="preserve">$727,140,917 </w:t>
            </w:r>
          </w:p>
        </w:tc>
        <w:tc>
          <w:tcPr>
            <w:tcW w:w="2336" w:type="dxa"/>
          </w:tcPr>
          <w:p w14:paraId="0A4CBDAD" w14:textId="77777777" w:rsidR="000F3D9F" w:rsidRPr="00CB3401" w:rsidRDefault="000F3D9F" w:rsidP="00F2155B">
            <w:pPr>
              <w:rPr>
                <w:rFonts w:asciiTheme="majorHAnsi" w:hAnsiTheme="majorHAnsi"/>
              </w:rPr>
            </w:pPr>
            <w:r w:rsidRPr="00CB3401">
              <w:rPr>
                <w:rFonts w:asciiTheme="majorHAnsi" w:hAnsiTheme="majorHAnsi"/>
                <w:b/>
                <w:bCs/>
              </w:rPr>
              <w:t>79%</w:t>
            </w:r>
          </w:p>
        </w:tc>
      </w:tr>
    </w:tbl>
    <w:p w14:paraId="5A0E97C1" w14:textId="50392952" w:rsidR="009C1DEF" w:rsidRDefault="009C1DEF"/>
    <w:sectPr w:rsidR="009C1DEF">
      <w:type w:val="continuous"/>
      <w:pgSz w:w="12240" w:h="15840"/>
      <w:pgMar w:top="154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86060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82217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123"/>
    <w:rsid w:val="000F3D9F"/>
    <w:rsid w:val="00173C04"/>
    <w:rsid w:val="002528B2"/>
    <w:rsid w:val="002638B0"/>
    <w:rsid w:val="003439ED"/>
    <w:rsid w:val="003A55D9"/>
    <w:rsid w:val="00447B09"/>
    <w:rsid w:val="004B5893"/>
    <w:rsid w:val="004D0FE9"/>
    <w:rsid w:val="00542183"/>
    <w:rsid w:val="006A6381"/>
    <w:rsid w:val="007A7826"/>
    <w:rsid w:val="0082492C"/>
    <w:rsid w:val="00874415"/>
    <w:rsid w:val="00905B99"/>
    <w:rsid w:val="009C1DEF"/>
    <w:rsid w:val="009D603B"/>
    <w:rsid w:val="00AB6A8C"/>
    <w:rsid w:val="00B212BB"/>
    <w:rsid w:val="00BF4FBA"/>
    <w:rsid w:val="00C10BDE"/>
    <w:rsid w:val="00CB3401"/>
    <w:rsid w:val="00D8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E978F"/>
  <w15:docId w15:val="{0C896047-DD06-4AEB-A0DB-FEB2F80CB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 Math" w:eastAsia="Cambria Math" w:hAnsi="Cambria Math" w:cs="Cambria Ma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1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jc w:val="right"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0F3D9F"/>
    <w:pPr>
      <w:widowControl/>
      <w:autoSpaceDE/>
      <w:autoSpaceDN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0F3D9F"/>
    <w:pPr>
      <w:widowControl/>
      <w:numPr>
        <w:numId w:val="1"/>
      </w:numPr>
      <w:autoSpaceDE/>
      <w:autoSpaceDN/>
      <w:spacing w:after="160" w:line="278" w:lineRule="auto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Nelson, Andre</dc:creator>
  <cp:lastModifiedBy>Curtis Field</cp:lastModifiedBy>
  <cp:revision>3</cp:revision>
  <dcterms:created xsi:type="dcterms:W3CDTF">2025-06-04T20:25:00Z</dcterms:created>
  <dcterms:modified xsi:type="dcterms:W3CDTF">2025-06-04T20:25:00Z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2024-08-27T00:00:00Z</vt:filetime>
  </property>
  <property fmtid="{D5CDD505-2E9C-101B-9397-08002B2CF9AE}" pid="5" name="Producer">
    <vt:lpwstr>Microsoft® Word 2016</vt:lpwstr>
  </property>
</Properties>
</file>