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E978F" w14:textId="5A1FE0A7" w:rsidR="00D83123" w:rsidRPr="00DB6ECC" w:rsidRDefault="009C1DEF">
      <w:pPr>
        <w:pStyle w:val="BodyText"/>
        <w:ind w:left="285"/>
        <w:rPr>
          <w:rFonts w:ascii="Times New Roman"/>
          <w:sz w:val="20"/>
          <w:lang w:val="fr-CA"/>
        </w:rPr>
      </w:pPr>
      <w:r w:rsidRPr="00DB6ECC">
        <w:rPr>
          <w:noProof/>
          <w:lang w:val="fr-CA"/>
        </w:rPr>
        <mc:AlternateContent>
          <mc:Choice Requires="wps">
            <w:drawing>
              <wp:anchor distT="0" distB="0" distL="0" distR="0" simplePos="0" relativeHeight="15730688" behindDoc="0" locked="0" layoutInCell="1" allowOverlap="1" wp14:anchorId="5A0E97C1" wp14:editId="5A0E97C2">
                <wp:simplePos x="0" y="0"/>
                <wp:positionH relativeFrom="page">
                  <wp:posOffset>5534155</wp:posOffset>
                </wp:positionH>
                <wp:positionV relativeFrom="page">
                  <wp:posOffset>6441075</wp:posOffset>
                </wp:positionV>
                <wp:extent cx="952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270"/>
                        </a:xfrm>
                        <a:custGeom>
                          <a:avLst/>
                          <a:gdLst/>
                          <a:ahLst/>
                          <a:cxnLst/>
                          <a:rect l="l" t="t" r="r" b="b"/>
                          <a:pathLst>
                            <a:path w="9525">
                              <a:moveTo>
                                <a:pt x="9394" y="0"/>
                              </a:moveTo>
                              <a:lnTo>
                                <a:pt x="0" y="0"/>
                              </a:lnTo>
                              <a:lnTo>
                                <a:pt x="9394" y="0"/>
                              </a:lnTo>
                              <a:close/>
                            </a:path>
                          </a:pathLst>
                        </a:custGeom>
                        <a:solidFill>
                          <a:srgbClr val="D3D3D3"/>
                        </a:solidFill>
                      </wps:spPr>
                      <wps:bodyPr wrap="square" lIns="0" tIns="0" rIns="0" bIns="0" rtlCol="0">
                        <a:prstTxWarp prst="textNoShape">
                          <a:avLst/>
                        </a:prstTxWarp>
                        <a:noAutofit/>
                      </wps:bodyPr>
                    </wps:wsp>
                  </a:graphicData>
                </a:graphic>
              </wp:anchor>
            </w:drawing>
          </mc:Choice>
          <mc:Fallback>
            <w:pict>
              <v:shape w14:anchorId="1B8D9315" id="Graphic 1" o:spid="_x0000_s1026" style="position:absolute;margin-left:435.75pt;margin-top:507.15pt;width:.75pt;height:.1pt;z-index:15730688;visibility:visible;mso-wrap-style:square;mso-wrap-distance-left:0;mso-wrap-distance-top:0;mso-wrap-distance-right:0;mso-wrap-distance-bottom:0;mso-position-horizontal:absolute;mso-position-horizontal-relative:page;mso-position-vertical:absolute;mso-position-vertical-relative:page;v-text-anchor:top" coordsize="9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" path="m9394,l,,9394,xe" fillcolor="#d3d3d3" stroked="f">
                <v:path arrowok="t"/>
                <w10:wrap anchorx="page" anchory="page"/>
              </v:shape>
            </w:pict>
          </mc:Fallback>
        </mc:AlternateContent>
      </w:r>
      <w:r w:rsidRPr="00DB6ECC">
        <w:rPr>
          <w:rFonts w:ascii="Times New Roman"/>
          <w:noProof/>
          <w:sz w:val="20"/>
          <w:lang w:val="fr-CA"/>
        </w:rPr>
        <w:drawing>
          <wp:inline distT="0" distB="0" distL="0" distR="0" wp14:anchorId="5A0E97C5" wp14:editId="4EA842C8">
            <wp:extent cx="2352675" cy="4572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2352675" cy="457200"/>
                    </a:xfrm>
                    <a:prstGeom prst="rect">
                      <a:avLst/>
                    </a:prstGeom>
                  </pic:spPr>
                </pic:pic>
              </a:graphicData>
            </a:graphic>
          </wp:inline>
        </w:drawing>
      </w:r>
    </w:p>
    <w:p w14:paraId="5A0E9790" w14:textId="77777777" w:rsidR="00D83123" w:rsidRPr="00DB6ECC" w:rsidRDefault="00D83123">
      <w:pPr>
        <w:pStyle w:val="BodyText"/>
        <w:spacing w:before="1"/>
        <w:rPr>
          <w:rFonts w:ascii="Times New Roman"/>
          <w:sz w:val="36"/>
          <w:lang w:val="fr-CA"/>
        </w:rPr>
      </w:pPr>
    </w:p>
    <w:p w14:paraId="5A0E9791" w14:textId="699F4764" w:rsidR="00D83123" w:rsidRPr="00DB6ECC" w:rsidRDefault="00DB6ECC">
      <w:pPr>
        <w:pStyle w:val="Title"/>
        <w:jc w:val="center"/>
        <w:rPr>
          <w:lang w:val="fr-CA"/>
        </w:rPr>
      </w:pPr>
      <w:r w:rsidRPr="00DB6ECC">
        <w:rPr>
          <w:color w:val="1B1B1B"/>
          <w:u w:val="single" w:color="1B1B1B"/>
          <w:lang w:val="fr-CA"/>
        </w:rPr>
        <w:t>Montants généralement facturés (MGF</w:t>
      </w:r>
      <w:r w:rsidR="009C1DEF" w:rsidRPr="00DB6ECC">
        <w:rPr>
          <w:color w:val="1B1B1B"/>
          <w:spacing w:val="-4"/>
          <w:u w:val="single" w:color="1B1B1B"/>
          <w:lang w:val="fr-CA"/>
        </w:rPr>
        <w:t>)</w:t>
      </w:r>
    </w:p>
    <w:p w14:paraId="5A0E9792" w14:textId="17B11C89" w:rsidR="00D83123" w:rsidRPr="00DB6ECC" w:rsidRDefault="00DB6ECC" w:rsidP="00D57122">
      <w:pPr>
        <w:pStyle w:val="Title"/>
        <w:spacing w:before="358" w:line="276" w:lineRule="auto"/>
        <w:ind w:left="115"/>
        <w:rPr>
          <w:lang w:val="fr-CA"/>
        </w:rPr>
      </w:pPr>
      <w:r w:rsidRPr="00DB6ECC">
        <w:rPr>
          <w:color w:val="1B1B1B"/>
          <w:lang w:val="fr-CA"/>
        </w:rPr>
        <w:t>Calcul des MGF selon la méthode rétrospective</w:t>
      </w:r>
    </w:p>
    <w:p w14:paraId="5A0E9794" w14:textId="621CE04F" w:rsidR="00D83123" w:rsidRPr="00DB6ECC" w:rsidRDefault="00DB6ECC" w:rsidP="00D57122">
      <w:pPr>
        <w:pStyle w:val="BodyText"/>
        <w:spacing w:before="152" w:line="276" w:lineRule="auto"/>
        <w:ind w:left="120" w:right="90"/>
        <w:rPr>
          <w:lang w:val="fr-CA"/>
        </w:rPr>
      </w:pPr>
      <w:r w:rsidRPr="00DB6ECC">
        <w:rPr>
          <w:color w:val="1B1B1B"/>
          <w:lang w:val="fr-CA"/>
        </w:rPr>
        <w:t>Selon la méthode rétrospective pour déterminer les MGF, un établissement hospitalier détermine les MGF pour tout soin d’urgence ou autre soin médicalement nécessaire fourni à une personne admissible au PFAM en multipliant les frais bruts de l’établissement hospitalier pour ces soins par un ou plusieurs pourcentages des frais bruts, appelés pourcentages de MGF. Les établissements hospitaliers doivent calculer leurs pourcentages de MGF au moins une fois par année en divisant la somme des montants de toutes leurs demandes de remboursement pour des soins d’urgence ou autres soins médicalement nécessaires qui ont été acceptées par certain</w:t>
      </w:r>
      <w:r w:rsidR="00BA506D">
        <w:rPr>
          <w:color w:val="1B1B1B"/>
          <w:lang w:val="fr-CA"/>
        </w:rPr>
        <w:t>es</w:t>
      </w:r>
      <w:r w:rsidRPr="00DB6ECC">
        <w:rPr>
          <w:color w:val="1B1B1B"/>
          <w:lang w:val="fr-CA"/>
        </w:rPr>
        <w:t xml:space="preserve"> </w:t>
      </w:r>
      <w:r w:rsidR="00BA506D">
        <w:rPr>
          <w:color w:val="1B1B1B"/>
          <w:lang w:val="fr-CA"/>
        </w:rPr>
        <w:t>compagnies d’assurance</w:t>
      </w:r>
      <w:r w:rsidRPr="00DB6ECC">
        <w:rPr>
          <w:color w:val="1B1B1B"/>
          <w:lang w:val="fr-CA"/>
        </w:rPr>
        <w:t xml:space="preserve"> maladie au cours d’une période de 12</w:t>
      </w:r>
      <w:r w:rsidR="00BA506D">
        <w:rPr>
          <w:color w:val="1B1B1B"/>
          <w:lang w:val="fr-CA"/>
        </w:rPr>
        <w:t> </w:t>
      </w:r>
      <w:r w:rsidRPr="00DB6ECC">
        <w:rPr>
          <w:color w:val="1B1B1B"/>
          <w:lang w:val="fr-CA"/>
        </w:rPr>
        <w:t>mois précédente par la somme des frais bruts associés à ces demandes. L’établissement hospitalier calcule les MGF à l’aide des demandes de remboursement de l’assurance</w:t>
      </w:r>
      <w:r w:rsidR="00BA506D">
        <w:rPr>
          <w:color w:val="1B1B1B"/>
          <w:lang w:val="fr-CA"/>
        </w:rPr>
        <w:t xml:space="preserve"> </w:t>
      </w:r>
      <w:r w:rsidRPr="00DB6ECC">
        <w:rPr>
          <w:color w:val="1B1B1B"/>
          <w:lang w:val="fr-CA"/>
        </w:rPr>
        <w:t>maladie publique (Medicare) et des assureurs privés</w:t>
      </w:r>
      <w:r w:rsidR="009C1DEF" w:rsidRPr="00DB6ECC">
        <w:rPr>
          <w:color w:val="1B1B1B"/>
          <w:lang w:val="fr-CA"/>
        </w:rPr>
        <w:t>.</w:t>
      </w:r>
    </w:p>
    <w:p w14:paraId="5A0E9795" w14:textId="77777777" w:rsidR="00D83123" w:rsidRPr="00DB6ECC" w:rsidRDefault="009C1DEF">
      <w:pPr>
        <w:pStyle w:val="BodyText"/>
        <w:spacing w:before="51"/>
        <w:rPr>
          <w:sz w:val="20"/>
          <w:lang w:val="fr-CA"/>
        </w:rPr>
      </w:pPr>
      <w:r w:rsidRPr="00DB6ECC">
        <w:rPr>
          <w:noProof/>
          <w:lang w:val="fr-CA"/>
        </w:rPr>
        <mc:AlternateContent>
          <mc:Choice Requires="wps">
            <w:drawing>
              <wp:anchor distT="0" distB="0" distL="0" distR="0" simplePos="0" relativeHeight="251660800" behindDoc="1" locked="0" layoutInCell="1" allowOverlap="1" wp14:anchorId="5A0E97C7" wp14:editId="5A0E97C8">
                <wp:simplePos x="0" y="0"/>
                <wp:positionH relativeFrom="page">
                  <wp:posOffset>914400</wp:posOffset>
                </wp:positionH>
                <wp:positionV relativeFrom="paragraph">
                  <wp:posOffset>196640</wp:posOffset>
                </wp:positionV>
                <wp:extent cx="5819775" cy="190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9775" cy="19050"/>
                        </a:xfrm>
                        <a:custGeom>
                          <a:avLst/>
                          <a:gdLst/>
                          <a:ahLst/>
                          <a:cxnLst/>
                          <a:rect l="l" t="t" r="r" b="b"/>
                          <a:pathLst>
                            <a:path w="5819775" h="19050">
                              <a:moveTo>
                                <a:pt x="0" y="19050"/>
                              </a:moveTo>
                              <a:lnTo>
                                <a:pt x="58197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0B0B12" id="Graphic 4" o:spid="_x0000_s1026" style="position:absolute;margin-left:1in;margin-top:15.5pt;width:458.25pt;height:1.5pt;z-index:-251655680;visibility:visible;mso-wrap-style:square;mso-wrap-distance-left:0;mso-wrap-distance-top:0;mso-wrap-distance-right:0;mso-wrap-distance-bottom:0;mso-position-horizontal:absolute;mso-position-horizontal-relative:page;mso-position-vertical:absolute;mso-position-vertical-relative:text;v-text-anchor:top" coordsize="581977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" path="m,19050l5819775,e" filled="f">
                <v:path arrowok="t"/>
                <w10:wrap type="topAndBottom" anchorx="page"/>
              </v:shape>
            </w:pict>
          </mc:Fallback>
        </mc:AlternateContent>
      </w:r>
    </w:p>
    <w:p w14:paraId="5A0E9796" w14:textId="77777777" w:rsidR="00D83123" w:rsidRPr="00DB6ECC" w:rsidRDefault="00D83123">
      <w:pPr>
        <w:pStyle w:val="BodyText"/>
        <w:spacing w:before="91"/>
        <w:rPr>
          <w:lang w:val="fr-CA"/>
        </w:rPr>
      </w:pPr>
    </w:p>
    <w:p w14:paraId="5A0E9797" w14:textId="03E1AE2D" w:rsidR="00D83123" w:rsidRPr="00DB6ECC" w:rsidRDefault="00DB6ECC">
      <w:pPr>
        <w:ind w:left="120"/>
        <w:rPr>
          <w:b/>
          <w:sz w:val="32"/>
          <w:lang w:val="fr-CA"/>
        </w:rPr>
      </w:pPr>
      <w:r w:rsidRPr="00DB6ECC">
        <w:rPr>
          <w:b/>
          <w:color w:val="1B1B1B"/>
          <w:sz w:val="32"/>
          <w:highlight w:val="yellow"/>
          <w:lang w:val="fr-CA"/>
        </w:rPr>
        <w:t>MGF pour l’exercice financier 2024 (1</w:t>
      </w:r>
      <w:r w:rsidRPr="004F53C9">
        <w:rPr>
          <w:b/>
          <w:color w:val="1B1B1B"/>
          <w:sz w:val="32"/>
          <w:highlight w:val="yellow"/>
          <w:vertAlign w:val="superscript"/>
          <w:lang w:val="fr-CA"/>
        </w:rPr>
        <w:t>er</w:t>
      </w:r>
      <w:r w:rsidRPr="00DB6ECC">
        <w:rPr>
          <w:b/>
          <w:color w:val="1B1B1B"/>
          <w:sz w:val="32"/>
          <w:highlight w:val="yellow"/>
          <w:lang w:val="fr-CA"/>
        </w:rPr>
        <w:t xml:space="preserve"> octobre 2023 au 30 septembre 2024</w:t>
      </w:r>
      <w:r w:rsidR="009C1DEF" w:rsidRPr="00DB6ECC">
        <w:rPr>
          <w:b/>
          <w:color w:val="1B1B1B"/>
          <w:spacing w:val="-2"/>
          <w:sz w:val="32"/>
          <w:highlight w:val="yellow"/>
          <w:lang w:val="fr-CA"/>
        </w:rPr>
        <w:t>)</w:t>
      </w:r>
    </w:p>
    <w:p w14:paraId="5A0E9798" w14:textId="13FA53EB" w:rsidR="00D83123" w:rsidRPr="00DB6ECC" w:rsidRDefault="004D0FE9">
      <w:pPr>
        <w:pStyle w:val="BodyText"/>
        <w:spacing w:before="35" w:after="1"/>
        <w:rPr>
          <w:b/>
          <w:sz w:val="20"/>
          <w:lang w:val="fr-CA"/>
        </w:rPr>
      </w:pPr>
      <w:r w:rsidRPr="00DB6ECC">
        <w:rPr>
          <w:noProof/>
          <w:highlight w:val="yellow"/>
          <w:lang w:val="fr-CA"/>
        </w:rPr>
        <mc:AlternateContent>
          <mc:Choice Requires="wps">
            <w:drawing>
              <wp:anchor distT="0" distB="0" distL="0" distR="0" simplePos="0" relativeHeight="251658752" behindDoc="0" locked="0" layoutInCell="1" allowOverlap="1" wp14:anchorId="5A0E97C3" wp14:editId="357D9AAA">
                <wp:simplePos x="0" y="0"/>
                <wp:positionH relativeFrom="page">
                  <wp:posOffset>7858125</wp:posOffset>
                </wp:positionH>
                <wp:positionV relativeFrom="page">
                  <wp:posOffset>4914900</wp:posOffset>
                </wp:positionV>
                <wp:extent cx="2296160" cy="1524000"/>
                <wp:effectExtent l="0" t="0" r="889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6160" cy="1524000"/>
                        </a:xfrm>
                        <a:custGeom>
                          <a:avLst/>
                          <a:gdLst/>
                          <a:ahLst/>
                          <a:cxnLst/>
                          <a:rect l="l" t="t" r="r" b="b"/>
                          <a:pathLst>
                            <a:path w="4620260" h="1524000">
                              <a:moveTo>
                                <a:pt x="0" y="1523964"/>
                              </a:moveTo>
                              <a:lnTo>
                                <a:pt x="4619755" y="1523964"/>
                              </a:lnTo>
                              <a:lnTo>
                                <a:pt x="4619755" y="0"/>
                              </a:lnTo>
                              <a:lnTo>
                                <a:pt x="0" y="0"/>
                              </a:lnTo>
                              <a:lnTo>
                                <a:pt x="0" y="1523964"/>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0C40A959" id="Graphic 2" o:spid="_x0000_s1026" style="position:absolute;margin-left:618.75pt;margin-top:387pt;width:180.8pt;height:120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coordsize="4620260,152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" path="m,1523964r4619755,l4619755,,,,,1523964xe" fillcolor="black" stroked="f">
                <v:path arrowok="t"/>
                <w10:wrap anchorx="page" anchory="page"/>
              </v:shape>
            </w:pict>
          </mc:Fallback>
        </mc:AlternateContent>
      </w:r>
    </w:p>
    <w:tbl>
      <w:tblPr>
        <w:tblStyle w:val="TableGrid"/>
        <w:tblW w:w="0" w:type="auto"/>
        <w:tblLook w:val="04A0" w:firstRow="1" w:lastRow="0" w:firstColumn="1" w:lastColumn="0" w:noHBand="0" w:noVBand="1"/>
      </w:tblPr>
      <w:tblGrid>
        <w:gridCol w:w="2352"/>
        <w:gridCol w:w="2325"/>
        <w:gridCol w:w="2325"/>
        <w:gridCol w:w="2348"/>
      </w:tblGrid>
      <w:tr w:rsidR="003E05FE" w:rsidRPr="000156FF" w14:paraId="09F22047" w14:textId="77777777" w:rsidTr="00F2155B">
        <w:tc>
          <w:tcPr>
            <w:tcW w:w="2352" w:type="dxa"/>
          </w:tcPr>
          <w:p w14:paraId="54A20C27" w14:textId="77777777" w:rsidR="003E05FE" w:rsidRPr="000156FF" w:rsidRDefault="003E05FE" w:rsidP="00F2155B">
            <w:pPr>
              <w:rPr>
                <w:lang w:val="fr-CA"/>
              </w:rPr>
            </w:pPr>
            <w:r w:rsidRPr="000156FF">
              <w:rPr>
                <w:lang w:val="fr-CA"/>
              </w:rPr>
              <w:t>Département</w:t>
            </w:r>
          </w:p>
        </w:tc>
        <w:tc>
          <w:tcPr>
            <w:tcW w:w="2325" w:type="dxa"/>
          </w:tcPr>
          <w:p w14:paraId="67B91F3D" w14:textId="77777777" w:rsidR="003E05FE" w:rsidRPr="000156FF" w:rsidRDefault="003E05FE" w:rsidP="00F2155B">
            <w:pPr>
              <w:rPr>
                <w:lang w:val="fr-CA"/>
              </w:rPr>
            </w:pPr>
            <w:r w:rsidRPr="000156FF">
              <w:rPr>
                <w:lang w:val="fr-CA"/>
              </w:rPr>
              <w:t>Montant total facturé</w:t>
            </w:r>
          </w:p>
        </w:tc>
        <w:tc>
          <w:tcPr>
            <w:tcW w:w="2325" w:type="dxa"/>
          </w:tcPr>
          <w:p w14:paraId="43F056A7" w14:textId="77777777" w:rsidR="003E05FE" w:rsidRPr="000156FF" w:rsidRDefault="003E05FE" w:rsidP="00F2155B">
            <w:pPr>
              <w:rPr>
                <w:lang w:val="fr-CA"/>
              </w:rPr>
            </w:pPr>
            <w:r w:rsidRPr="000156FF">
              <w:rPr>
                <w:lang w:val="fr-CA"/>
              </w:rPr>
              <w:t>Montant total reçu</w:t>
            </w:r>
          </w:p>
        </w:tc>
        <w:tc>
          <w:tcPr>
            <w:tcW w:w="2348" w:type="dxa"/>
          </w:tcPr>
          <w:p w14:paraId="7639294B" w14:textId="77777777" w:rsidR="003E05FE" w:rsidRPr="000156FF" w:rsidRDefault="003E05FE" w:rsidP="00F2155B">
            <w:pPr>
              <w:rPr>
                <w:lang w:val="fr-CA"/>
              </w:rPr>
            </w:pPr>
            <w:r w:rsidRPr="000156FF">
              <w:rPr>
                <w:lang w:val="fr-CA"/>
              </w:rPr>
              <w:t>Pourcentage MGF (rabais)</w:t>
            </w:r>
          </w:p>
        </w:tc>
      </w:tr>
      <w:tr w:rsidR="003E05FE" w:rsidRPr="000156FF" w14:paraId="5AA867EB" w14:textId="77777777" w:rsidTr="00F2155B">
        <w:tc>
          <w:tcPr>
            <w:tcW w:w="2352" w:type="dxa"/>
          </w:tcPr>
          <w:p w14:paraId="28CD0B5A" w14:textId="77777777" w:rsidR="003E05FE" w:rsidRPr="000156FF" w:rsidRDefault="003E05FE" w:rsidP="00F2155B">
            <w:pPr>
              <w:rPr>
                <w:lang w:val="fr-CA"/>
              </w:rPr>
            </w:pPr>
            <w:r w:rsidRPr="000156FF">
              <w:rPr>
                <w:lang w:val="fr-CA"/>
              </w:rPr>
              <w:t>Tous les autres services</w:t>
            </w:r>
          </w:p>
        </w:tc>
        <w:tc>
          <w:tcPr>
            <w:tcW w:w="2325" w:type="dxa"/>
          </w:tcPr>
          <w:p w14:paraId="5D394114" w14:textId="77777777" w:rsidR="003E05FE" w:rsidRPr="000156FF" w:rsidRDefault="003E05FE" w:rsidP="00F2155B">
            <w:pPr>
              <w:rPr>
                <w:lang w:val="fr-CA"/>
              </w:rPr>
            </w:pPr>
            <w:r w:rsidRPr="00EF6DA2">
              <w:t>$1,585,676,714</w:t>
            </w:r>
          </w:p>
        </w:tc>
        <w:tc>
          <w:tcPr>
            <w:tcW w:w="2325" w:type="dxa"/>
          </w:tcPr>
          <w:p w14:paraId="78827DBF" w14:textId="77777777" w:rsidR="003E05FE" w:rsidRPr="000156FF" w:rsidRDefault="003E05FE" w:rsidP="00F2155B">
            <w:pPr>
              <w:rPr>
                <w:lang w:val="fr-CA"/>
              </w:rPr>
            </w:pPr>
            <w:r w:rsidRPr="00EF6DA2">
              <w:t xml:space="preserve">$362,009,182 </w:t>
            </w:r>
          </w:p>
        </w:tc>
        <w:tc>
          <w:tcPr>
            <w:tcW w:w="2348" w:type="dxa"/>
          </w:tcPr>
          <w:p w14:paraId="411EEE4A" w14:textId="77777777" w:rsidR="003E05FE" w:rsidRPr="000156FF" w:rsidRDefault="003E05FE" w:rsidP="00F2155B">
            <w:pPr>
              <w:rPr>
                <w:lang w:val="fr-CA"/>
              </w:rPr>
            </w:pPr>
            <w:r w:rsidRPr="00EF6DA2">
              <w:t>77%</w:t>
            </w:r>
          </w:p>
        </w:tc>
      </w:tr>
      <w:tr w:rsidR="003E05FE" w:rsidRPr="000156FF" w14:paraId="47D518C7" w14:textId="77777777" w:rsidTr="00F2155B">
        <w:tc>
          <w:tcPr>
            <w:tcW w:w="2352" w:type="dxa"/>
          </w:tcPr>
          <w:p w14:paraId="09A796D0" w14:textId="77777777" w:rsidR="003E05FE" w:rsidRPr="000156FF" w:rsidRDefault="003E05FE" w:rsidP="00F2155B">
            <w:pPr>
              <w:rPr>
                <w:lang w:val="fr-CA"/>
              </w:rPr>
            </w:pPr>
            <w:r w:rsidRPr="000156FF">
              <w:rPr>
                <w:lang w:val="fr-CA"/>
              </w:rPr>
              <w:t>Urgence</w:t>
            </w:r>
          </w:p>
        </w:tc>
        <w:tc>
          <w:tcPr>
            <w:tcW w:w="2325" w:type="dxa"/>
          </w:tcPr>
          <w:p w14:paraId="7D516760" w14:textId="77777777" w:rsidR="003E05FE" w:rsidRPr="000156FF" w:rsidRDefault="003E05FE" w:rsidP="00F2155B">
            <w:pPr>
              <w:rPr>
                <w:lang w:val="fr-CA"/>
              </w:rPr>
            </w:pPr>
            <w:r w:rsidRPr="00EF6DA2">
              <w:t>$397,103,906</w:t>
            </w:r>
          </w:p>
        </w:tc>
        <w:tc>
          <w:tcPr>
            <w:tcW w:w="2325" w:type="dxa"/>
          </w:tcPr>
          <w:p w14:paraId="36F7C875" w14:textId="77777777" w:rsidR="003E05FE" w:rsidRPr="000156FF" w:rsidRDefault="003E05FE" w:rsidP="00F2155B">
            <w:pPr>
              <w:rPr>
                <w:lang w:val="fr-CA"/>
              </w:rPr>
            </w:pPr>
            <w:r w:rsidRPr="00EF6DA2">
              <w:t xml:space="preserve">$75,900,759 </w:t>
            </w:r>
          </w:p>
        </w:tc>
        <w:tc>
          <w:tcPr>
            <w:tcW w:w="2348" w:type="dxa"/>
          </w:tcPr>
          <w:p w14:paraId="5AD210A3" w14:textId="77777777" w:rsidR="003E05FE" w:rsidRPr="000156FF" w:rsidRDefault="003E05FE" w:rsidP="00F2155B">
            <w:pPr>
              <w:rPr>
                <w:lang w:val="fr-CA"/>
              </w:rPr>
            </w:pPr>
            <w:r w:rsidRPr="00EF6DA2">
              <w:t>81%</w:t>
            </w:r>
          </w:p>
        </w:tc>
      </w:tr>
      <w:tr w:rsidR="003E05FE" w:rsidRPr="000156FF" w14:paraId="154777B0" w14:textId="77777777" w:rsidTr="00F2155B">
        <w:tc>
          <w:tcPr>
            <w:tcW w:w="2352" w:type="dxa"/>
          </w:tcPr>
          <w:p w14:paraId="552462C8" w14:textId="77777777" w:rsidR="003E05FE" w:rsidRPr="000156FF" w:rsidRDefault="003E05FE" w:rsidP="00F2155B">
            <w:pPr>
              <w:rPr>
                <w:lang w:val="fr-CA"/>
              </w:rPr>
            </w:pPr>
            <w:r w:rsidRPr="000156FF">
              <w:rPr>
                <w:lang w:val="fr-CA"/>
              </w:rPr>
              <w:t>Laboratoire</w:t>
            </w:r>
          </w:p>
        </w:tc>
        <w:tc>
          <w:tcPr>
            <w:tcW w:w="2325" w:type="dxa"/>
          </w:tcPr>
          <w:p w14:paraId="6FEE8059" w14:textId="77777777" w:rsidR="003E05FE" w:rsidRPr="000156FF" w:rsidRDefault="003E05FE" w:rsidP="00F2155B">
            <w:pPr>
              <w:pStyle w:val="ListBullet"/>
              <w:numPr>
                <w:ilvl w:val="0"/>
                <w:numId w:val="0"/>
              </w:numPr>
              <w:ind w:left="360" w:hanging="360"/>
              <w:rPr>
                <w:lang w:val="fr-CA"/>
              </w:rPr>
            </w:pPr>
            <w:r w:rsidRPr="00EF6DA2">
              <w:t>$167,593,447</w:t>
            </w:r>
          </w:p>
        </w:tc>
        <w:tc>
          <w:tcPr>
            <w:tcW w:w="2325" w:type="dxa"/>
          </w:tcPr>
          <w:p w14:paraId="2BBED38A" w14:textId="77777777" w:rsidR="003E05FE" w:rsidRPr="000156FF" w:rsidRDefault="003E05FE" w:rsidP="00F2155B">
            <w:pPr>
              <w:rPr>
                <w:lang w:val="fr-CA"/>
              </w:rPr>
            </w:pPr>
            <w:r w:rsidRPr="00EF6DA2">
              <w:t xml:space="preserve">$12,636,543 </w:t>
            </w:r>
          </w:p>
        </w:tc>
        <w:tc>
          <w:tcPr>
            <w:tcW w:w="2348" w:type="dxa"/>
          </w:tcPr>
          <w:p w14:paraId="52C61CB0" w14:textId="77777777" w:rsidR="003E05FE" w:rsidRPr="000156FF" w:rsidRDefault="003E05FE" w:rsidP="00F2155B">
            <w:pPr>
              <w:rPr>
                <w:lang w:val="fr-CA"/>
              </w:rPr>
            </w:pPr>
            <w:r w:rsidRPr="00EF6DA2">
              <w:t>92%</w:t>
            </w:r>
          </w:p>
        </w:tc>
      </w:tr>
      <w:tr w:rsidR="003E05FE" w:rsidRPr="000156FF" w14:paraId="4AEDC8E0" w14:textId="77777777" w:rsidTr="00F2155B">
        <w:tc>
          <w:tcPr>
            <w:tcW w:w="2352" w:type="dxa"/>
          </w:tcPr>
          <w:p w14:paraId="71C7560E" w14:textId="77777777" w:rsidR="003E05FE" w:rsidRPr="000156FF" w:rsidRDefault="003E05FE" w:rsidP="00F2155B">
            <w:pPr>
              <w:rPr>
                <w:lang w:val="fr-CA"/>
              </w:rPr>
            </w:pPr>
            <w:r w:rsidRPr="000156FF">
              <w:rPr>
                <w:lang w:val="fr-CA"/>
              </w:rPr>
              <w:t>Oncologie médicale</w:t>
            </w:r>
          </w:p>
        </w:tc>
        <w:tc>
          <w:tcPr>
            <w:tcW w:w="2325" w:type="dxa"/>
          </w:tcPr>
          <w:p w14:paraId="073D3CFE" w14:textId="77777777" w:rsidR="003E05FE" w:rsidRPr="000156FF" w:rsidRDefault="003E05FE" w:rsidP="00F2155B">
            <w:pPr>
              <w:rPr>
                <w:lang w:val="fr-CA"/>
              </w:rPr>
            </w:pPr>
            <w:r w:rsidRPr="00EF6DA2">
              <w:t>$294,254,027</w:t>
            </w:r>
          </w:p>
        </w:tc>
        <w:tc>
          <w:tcPr>
            <w:tcW w:w="2325" w:type="dxa"/>
          </w:tcPr>
          <w:p w14:paraId="535990F2" w14:textId="77777777" w:rsidR="003E05FE" w:rsidRPr="000156FF" w:rsidRDefault="003E05FE" w:rsidP="00F2155B">
            <w:pPr>
              <w:rPr>
                <w:lang w:val="fr-CA"/>
              </w:rPr>
            </w:pPr>
            <w:r w:rsidRPr="00EF6DA2">
              <w:t xml:space="preserve">$55,251,245 </w:t>
            </w:r>
          </w:p>
        </w:tc>
        <w:tc>
          <w:tcPr>
            <w:tcW w:w="2348" w:type="dxa"/>
          </w:tcPr>
          <w:p w14:paraId="2E1A885B" w14:textId="77777777" w:rsidR="003E05FE" w:rsidRPr="000156FF" w:rsidRDefault="003E05FE" w:rsidP="00F2155B">
            <w:pPr>
              <w:rPr>
                <w:lang w:val="fr-CA"/>
              </w:rPr>
            </w:pPr>
            <w:r w:rsidRPr="00773BE4">
              <w:t>81%</w:t>
            </w:r>
          </w:p>
        </w:tc>
      </w:tr>
      <w:tr w:rsidR="003E05FE" w:rsidRPr="000156FF" w14:paraId="24A5C6AB" w14:textId="77777777" w:rsidTr="00F2155B">
        <w:tc>
          <w:tcPr>
            <w:tcW w:w="2352" w:type="dxa"/>
          </w:tcPr>
          <w:p w14:paraId="1F400D99" w14:textId="77777777" w:rsidR="003E05FE" w:rsidRPr="000156FF" w:rsidRDefault="003E05FE" w:rsidP="00F2155B">
            <w:pPr>
              <w:rPr>
                <w:lang w:val="fr-CA"/>
              </w:rPr>
            </w:pPr>
            <w:r w:rsidRPr="000156FF">
              <w:rPr>
                <w:lang w:val="fr-CA"/>
              </w:rPr>
              <w:t>Chirurgie ambulatoire</w:t>
            </w:r>
          </w:p>
        </w:tc>
        <w:tc>
          <w:tcPr>
            <w:tcW w:w="2325" w:type="dxa"/>
          </w:tcPr>
          <w:p w14:paraId="77566059" w14:textId="77777777" w:rsidR="003E05FE" w:rsidRPr="000156FF" w:rsidRDefault="003E05FE" w:rsidP="00F2155B">
            <w:pPr>
              <w:rPr>
                <w:lang w:val="fr-CA"/>
              </w:rPr>
            </w:pPr>
            <w:r w:rsidRPr="00EF6DA2">
              <w:t>$606,662,883</w:t>
            </w:r>
          </w:p>
        </w:tc>
        <w:tc>
          <w:tcPr>
            <w:tcW w:w="2325" w:type="dxa"/>
          </w:tcPr>
          <w:p w14:paraId="47BB3842" w14:textId="77777777" w:rsidR="003E05FE" w:rsidRPr="000156FF" w:rsidRDefault="003E05FE" w:rsidP="00F2155B">
            <w:pPr>
              <w:rPr>
                <w:lang w:val="fr-CA"/>
              </w:rPr>
            </w:pPr>
            <w:r w:rsidRPr="00EF6DA2">
              <w:t xml:space="preserve">$157,693,998 </w:t>
            </w:r>
          </w:p>
        </w:tc>
        <w:tc>
          <w:tcPr>
            <w:tcW w:w="2348" w:type="dxa"/>
          </w:tcPr>
          <w:p w14:paraId="746A149D" w14:textId="77777777" w:rsidR="003E05FE" w:rsidRPr="000156FF" w:rsidRDefault="003E05FE" w:rsidP="00F2155B">
            <w:pPr>
              <w:rPr>
                <w:lang w:val="fr-CA"/>
              </w:rPr>
            </w:pPr>
            <w:r w:rsidRPr="00773BE4">
              <w:t>74%</w:t>
            </w:r>
          </w:p>
        </w:tc>
      </w:tr>
      <w:tr w:rsidR="003E05FE" w:rsidRPr="000156FF" w14:paraId="7973A5EB" w14:textId="77777777" w:rsidTr="00F2155B">
        <w:tc>
          <w:tcPr>
            <w:tcW w:w="2352" w:type="dxa"/>
          </w:tcPr>
          <w:p w14:paraId="06C35CE0" w14:textId="77777777" w:rsidR="003E05FE" w:rsidRPr="000156FF" w:rsidRDefault="003E05FE" w:rsidP="00F2155B">
            <w:pPr>
              <w:rPr>
                <w:lang w:val="fr-CA"/>
              </w:rPr>
            </w:pPr>
            <w:r w:rsidRPr="000156FF">
              <w:rPr>
                <w:lang w:val="fr-CA"/>
              </w:rPr>
              <w:t>Radiologie</w:t>
            </w:r>
          </w:p>
        </w:tc>
        <w:tc>
          <w:tcPr>
            <w:tcW w:w="2325" w:type="dxa"/>
          </w:tcPr>
          <w:p w14:paraId="0FCEAD2F" w14:textId="77777777" w:rsidR="003E05FE" w:rsidRPr="000156FF" w:rsidRDefault="003E05FE" w:rsidP="00F2155B">
            <w:pPr>
              <w:rPr>
                <w:lang w:val="fr-CA"/>
              </w:rPr>
            </w:pPr>
            <w:r w:rsidRPr="00EF6DA2">
              <w:t>$370,347,428</w:t>
            </w:r>
          </w:p>
        </w:tc>
        <w:tc>
          <w:tcPr>
            <w:tcW w:w="2325" w:type="dxa"/>
          </w:tcPr>
          <w:p w14:paraId="06D69335" w14:textId="77777777" w:rsidR="003E05FE" w:rsidRPr="000156FF" w:rsidRDefault="003E05FE" w:rsidP="00F2155B">
            <w:pPr>
              <w:rPr>
                <w:lang w:val="fr-CA"/>
              </w:rPr>
            </w:pPr>
            <w:r w:rsidRPr="00EF6DA2">
              <w:t xml:space="preserve">$63,649,190 </w:t>
            </w:r>
          </w:p>
        </w:tc>
        <w:tc>
          <w:tcPr>
            <w:tcW w:w="2348" w:type="dxa"/>
          </w:tcPr>
          <w:p w14:paraId="70DA1565" w14:textId="77777777" w:rsidR="003E05FE" w:rsidRPr="000156FF" w:rsidRDefault="003E05FE" w:rsidP="00F2155B">
            <w:pPr>
              <w:rPr>
                <w:lang w:val="fr-CA"/>
              </w:rPr>
            </w:pPr>
            <w:r w:rsidRPr="00773BE4">
              <w:t>83%</w:t>
            </w:r>
          </w:p>
        </w:tc>
      </w:tr>
      <w:tr w:rsidR="003E05FE" w:rsidRPr="00A0122A" w14:paraId="0634D8C0" w14:textId="77777777" w:rsidTr="00F2155B">
        <w:tc>
          <w:tcPr>
            <w:tcW w:w="2352" w:type="dxa"/>
          </w:tcPr>
          <w:p w14:paraId="64B12DAB" w14:textId="77777777" w:rsidR="003E05FE" w:rsidRPr="00A0122A" w:rsidRDefault="003E05FE" w:rsidP="00F2155B">
            <w:pPr>
              <w:rPr>
                <w:b/>
                <w:bCs/>
                <w:lang w:val="fr-CA"/>
              </w:rPr>
            </w:pPr>
            <w:r w:rsidRPr="00A0122A">
              <w:rPr>
                <w:b/>
                <w:bCs/>
                <w:lang w:val="fr-CA"/>
              </w:rPr>
              <w:t>Grand total</w:t>
            </w:r>
          </w:p>
        </w:tc>
        <w:tc>
          <w:tcPr>
            <w:tcW w:w="2325" w:type="dxa"/>
          </w:tcPr>
          <w:p w14:paraId="7C31D85A" w14:textId="77777777" w:rsidR="003E05FE" w:rsidRPr="00A0122A" w:rsidRDefault="003E05FE" w:rsidP="00F2155B">
            <w:pPr>
              <w:rPr>
                <w:b/>
                <w:bCs/>
                <w:lang w:val="fr-CA"/>
              </w:rPr>
            </w:pPr>
            <w:r w:rsidRPr="00EF6DA2">
              <w:rPr>
                <w:b/>
                <w:bCs/>
              </w:rPr>
              <w:t>$3,421,638,405</w:t>
            </w:r>
          </w:p>
        </w:tc>
        <w:tc>
          <w:tcPr>
            <w:tcW w:w="2325" w:type="dxa"/>
          </w:tcPr>
          <w:p w14:paraId="1F45EFBB" w14:textId="77777777" w:rsidR="003E05FE" w:rsidRPr="00A0122A" w:rsidRDefault="003E05FE" w:rsidP="00F2155B">
            <w:pPr>
              <w:rPr>
                <w:b/>
                <w:bCs/>
                <w:lang w:val="fr-CA"/>
              </w:rPr>
            </w:pPr>
            <w:r w:rsidRPr="00EF6DA2">
              <w:rPr>
                <w:b/>
                <w:bCs/>
              </w:rPr>
              <w:t xml:space="preserve">$727,140,917 </w:t>
            </w:r>
          </w:p>
        </w:tc>
        <w:tc>
          <w:tcPr>
            <w:tcW w:w="2348" w:type="dxa"/>
          </w:tcPr>
          <w:p w14:paraId="590A964C" w14:textId="77777777" w:rsidR="003E05FE" w:rsidRPr="00A0122A" w:rsidRDefault="003E05FE" w:rsidP="00F2155B">
            <w:pPr>
              <w:rPr>
                <w:b/>
                <w:bCs/>
                <w:lang w:val="fr-CA"/>
              </w:rPr>
            </w:pPr>
            <w:r w:rsidRPr="00EF6DA2">
              <w:rPr>
                <w:b/>
                <w:bCs/>
              </w:rPr>
              <w:t>79</w:t>
            </w:r>
            <w:r w:rsidRPr="002434B7">
              <w:rPr>
                <w:b/>
                <w:bCs/>
              </w:rPr>
              <w:t>%</w:t>
            </w:r>
          </w:p>
        </w:tc>
      </w:tr>
    </w:tbl>
    <w:p w14:paraId="5A0E97C1" w14:textId="79D75342" w:rsidR="009C1DEF" w:rsidRPr="00DB6ECC" w:rsidRDefault="009C1DEF">
      <w:pPr>
        <w:rPr>
          <w:lang w:val="fr-CA"/>
        </w:rPr>
      </w:pPr>
    </w:p>
    <w:sectPr w:rsidR="009C1DEF" w:rsidRPr="00DB6ECC">
      <w:type w:val="continuous"/>
      <w:pgSz w:w="12240" w:h="15840"/>
      <w:pgMar w:top="1540" w:right="134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7770A" w14:textId="77777777" w:rsidR="00C634CA" w:rsidRDefault="00C634CA" w:rsidP="00BA506D">
      <w:r>
        <w:separator/>
      </w:r>
    </w:p>
  </w:endnote>
  <w:endnote w:type="continuationSeparator" w:id="0">
    <w:p w14:paraId="68656C10" w14:textId="77777777" w:rsidR="00C634CA" w:rsidRDefault="00C634CA" w:rsidP="00BA5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919A4" w14:textId="77777777" w:rsidR="00C634CA" w:rsidRDefault="00C634CA" w:rsidP="00BA506D">
      <w:r>
        <w:separator/>
      </w:r>
    </w:p>
  </w:footnote>
  <w:footnote w:type="continuationSeparator" w:id="0">
    <w:p w14:paraId="03372338" w14:textId="77777777" w:rsidR="00C634CA" w:rsidRDefault="00C634CA" w:rsidP="00BA50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8B8BB14"/>
    <w:lvl w:ilvl="0">
      <w:start w:val="1"/>
      <w:numFmt w:val="bullet"/>
      <w:pStyle w:val="ListBullet"/>
      <w:lvlText w:val=""/>
      <w:lvlJc w:val="left"/>
      <w:pPr>
        <w:tabs>
          <w:tab w:val="num" w:pos="360"/>
        </w:tabs>
        <w:ind w:left="360" w:hanging="360"/>
      </w:pPr>
      <w:rPr>
        <w:rFonts w:ascii="Symbol" w:hAnsi="Symbol" w:hint="default"/>
      </w:rPr>
    </w:lvl>
  </w:abstractNum>
  <w:num w:numId="1" w16cid:durableId="249703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123"/>
    <w:rsid w:val="00173C04"/>
    <w:rsid w:val="002638B0"/>
    <w:rsid w:val="003439ED"/>
    <w:rsid w:val="00353952"/>
    <w:rsid w:val="003A42EA"/>
    <w:rsid w:val="003A55D9"/>
    <w:rsid w:val="003B34BE"/>
    <w:rsid w:val="003E05FE"/>
    <w:rsid w:val="00447B09"/>
    <w:rsid w:val="004B5893"/>
    <w:rsid w:val="004D0FE9"/>
    <w:rsid w:val="004F53C9"/>
    <w:rsid w:val="00542183"/>
    <w:rsid w:val="006327CA"/>
    <w:rsid w:val="006A6381"/>
    <w:rsid w:val="00944E70"/>
    <w:rsid w:val="009C1DEF"/>
    <w:rsid w:val="009F565B"/>
    <w:rsid w:val="00AB6A8C"/>
    <w:rsid w:val="00B212BB"/>
    <w:rsid w:val="00B967BE"/>
    <w:rsid w:val="00BA506D"/>
    <w:rsid w:val="00C0368F"/>
    <w:rsid w:val="00C10BDE"/>
    <w:rsid w:val="00C634CA"/>
    <w:rsid w:val="00D57122"/>
    <w:rsid w:val="00D83123"/>
    <w:rsid w:val="00DB6ECC"/>
    <w:rsid w:val="00E44E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E978F"/>
  <w15:docId w15:val="{0C896047-DD06-4AEB-A0DB-FEB2F80CB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Math" w:eastAsia="Cambria Math" w:hAnsi="Cambria Math" w:cs="Cambria Ma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21"/>
    </w:pPr>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65" w:lineRule="exact"/>
      <w:jc w:val="right"/>
    </w:pPr>
    <w:rPr>
      <w:rFonts w:ascii="Calibri" w:eastAsia="Calibri" w:hAnsi="Calibri" w:cs="Calibri"/>
    </w:rPr>
  </w:style>
  <w:style w:type="paragraph" w:styleId="Header">
    <w:name w:val="header"/>
    <w:basedOn w:val="Normal"/>
    <w:link w:val="HeaderChar"/>
    <w:uiPriority w:val="99"/>
    <w:unhideWhenUsed/>
    <w:rsid w:val="00BA506D"/>
    <w:pPr>
      <w:tabs>
        <w:tab w:val="center" w:pos="4320"/>
        <w:tab w:val="right" w:pos="8640"/>
      </w:tabs>
    </w:pPr>
  </w:style>
  <w:style w:type="character" w:customStyle="1" w:styleId="HeaderChar">
    <w:name w:val="Header Char"/>
    <w:basedOn w:val="DefaultParagraphFont"/>
    <w:link w:val="Header"/>
    <w:uiPriority w:val="99"/>
    <w:rsid w:val="00BA506D"/>
    <w:rPr>
      <w:rFonts w:ascii="Cambria Math" w:eastAsia="Cambria Math" w:hAnsi="Cambria Math" w:cs="Cambria Math"/>
    </w:rPr>
  </w:style>
  <w:style w:type="paragraph" w:styleId="Footer">
    <w:name w:val="footer"/>
    <w:basedOn w:val="Normal"/>
    <w:link w:val="FooterChar"/>
    <w:uiPriority w:val="99"/>
    <w:unhideWhenUsed/>
    <w:rsid w:val="00BA506D"/>
    <w:pPr>
      <w:tabs>
        <w:tab w:val="center" w:pos="4320"/>
        <w:tab w:val="right" w:pos="8640"/>
      </w:tabs>
    </w:pPr>
  </w:style>
  <w:style w:type="character" w:customStyle="1" w:styleId="FooterChar">
    <w:name w:val="Footer Char"/>
    <w:basedOn w:val="DefaultParagraphFont"/>
    <w:link w:val="Footer"/>
    <w:uiPriority w:val="99"/>
    <w:rsid w:val="00BA506D"/>
    <w:rPr>
      <w:rFonts w:ascii="Cambria Math" w:eastAsia="Cambria Math" w:hAnsi="Cambria Math" w:cs="Cambria Math"/>
    </w:rPr>
  </w:style>
  <w:style w:type="table" w:styleId="TableGrid">
    <w:name w:val="Table Grid"/>
    <w:basedOn w:val="TableNormal"/>
    <w:uiPriority w:val="39"/>
    <w:rsid w:val="003E05FE"/>
    <w:pPr>
      <w:widowControl/>
      <w:autoSpaceDE/>
      <w:autoSpaceDN/>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3E05FE"/>
    <w:pPr>
      <w:widowControl/>
      <w:numPr>
        <w:numId w:val="1"/>
      </w:numPr>
      <w:autoSpaceDE/>
      <w:autoSpaceDN/>
      <w:spacing w:after="160" w:line="278" w:lineRule="auto"/>
      <w:contextualSpacing/>
    </w:pPr>
    <w:rPr>
      <w:rFonts w:asciiTheme="minorHAnsi" w:eastAsiaTheme="minorHAnsi"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1281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Nelson, Andre</dc:creator>
  <cp:lastModifiedBy>Curtis Field</cp:lastModifiedBy>
  <cp:revision>2</cp:revision>
  <dcterms:created xsi:type="dcterms:W3CDTF">2025-06-04T20:27:00Z</dcterms:created>
  <dcterms:modified xsi:type="dcterms:W3CDTF">2025-06-04T20:27:00Z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2021-09-01T00:00:00Z</vt:filetime>
  </property>
  <property fmtid="{D5CDD505-2E9C-101B-9397-08002B2CF9AE}" pid="3" name="Creator">
    <vt:lpwstr>Microsoft® Word 2016</vt:lpwstr>
  </property>
  <property fmtid="{D5CDD505-2E9C-101B-9397-08002B2CF9AE}" pid="4" name="LastSaved">
    <vt:filetime>2024-08-27T00:00:00Z</vt:filetime>
  </property>
  <property fmtid="{D5CDD505-2E9C-101B-9397-08002B2CF9AE}" pid="5" name="Producer">
    <vt:lpwstr>Microsoft® Word 2016</vt:lpwstr>
  </property>
</Properties>
</file>