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Pr="006C6EEF" w:rsidRDefault="009C1DEF">
      <w:pPr>
        <w:pStyle w:val="BodyText"/>
        <w:ind w:left="285"/>
        <w:rPr>
          <w:rFonts w:ascii="Times New Roman"/>
          <w:sz w:val="20"/>
          <w:lang w:val="es-AR"/>
        </w:rPr>
      </w:pPr>
      <w:r w:rsidRPr="006C6EEF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B0A4C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 w:rsidRPr="006C6EEF">
        <w:rPr>
          <w:rFonts w:ascii="Times New Roman"/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Pr="006C6EEF" w:rsidRDefault="00D83123">
      <w:pPr>
        <w:pStyle w:val="BodyText"/>
        <w:spacing w:before="1"/>
        <w:rPr>
          <w:rFonts w:ascii="Times New Roman"/>
          <w:sz w:val="36"/>
          <w:lang w:val="es-AR"/>
        </w:rPr>
      </w:pPr>
    </w:p>
    <w:p w14:paraId="1059A1D1" w14:textId="6C15A2D6" w:rsidR="00796642" w:rsidRPr="006C6EEF" w:rsidRDefault="00796642">
      <w:pPr>
        <w:pStyle w:val="Title"/>
        <w:jc w:val="center"/>
        <w:rPr>
          <w:u w:val="single"/>
          <w:lang w:val="es-AR"/>
        </w:rPr>
      </w:pPr>
      <w:r w:rsidRPr="006C6EEF">
        <w:rPr>
          <w:u w:val="single"/>
          <w:lang w:val="es-AR"/>
        </w:rPr>
        <w:t>Montos generalmente facturados (</w:t>
      </w:r>
      <w:proofErr w:type="spellStart"/>
      <w:r w:rsidRPr="006C6EEF">
        <w:rPr>
          <w:u w:val="single"/>
          <w:lang w:val="es-AR"/>
        </w:rPr>
        <w:t>AGB</w:t>
      </w:r>
      <w:proofErr w:type="spellEnd"/>
      <w:r w:rsidRPr="006C6EEF">
        <w:rPr>
          <w:u w:val="single"/>
          <w:lang w:val="es-AR"/>
        </w:rPr>
        <w:t>, en inglés)</w:t>
      </w:r>
    </w:p>
    <w:p w14:paraId="42EC21B6" w14:textId="55E875B8" w:rsidR="009C1A09" w:rsidRPr="006C6EEF" w:rsidRDefault="009C1A09">
      <w:pPr>
        <w:pStyle w:val="Title"/>
        <w:spacing w:before="358"/>
        <w:ind w:left="120"/>
        <w:rPr>
          <w:lang w:val="es-AR"/>
        </w:rPr>
      </w:pPr>
      <w:r w:rsidRPr="006C6EEF">
        <w:rPr>
          <w:lang w:val="es-AR"/>
        </w:rPr>
        <w:t xml:space="preserve">Cálculo de los </w:t>
      </w:r>
      <w:proofErr w:type="spellStart"/>
      <w:r w:rsidRPr="006C6EEF">
        <w:rPr>
          <w:lang w:val="es-AR"/>
        </w:rPr>
        <w:t>AGB</w:t>
      </w:r>
      <w:proofErr w:type="spellEnd"/>
      <w:r w:rsidRPr="006C6EEF">
        <w:rPr>
          <w:lang w:val="es-AR"/>
        </w:rPr>
        <w:t xml:space="preserve"> según el método </w:t>
      </w:r>
      <w:r w:rsidR="00DF45E5" w:rsidRPr="006C6EEF">
        <w:rPr>
          <w:lang w:val="es-AR"/>
        </w:rPr>
        <w:t>retrospectivo</w:t>
      </w:r>
    </w:p>
    <w:p w14:paraId="697408A0" w14:textId="77777777" w:rsidR="00DF45E5" w:rsidRPr="006C6EEF" w:rsidRDefault="00DF45E5" w:rsidP="00796642">
      <w:pPr>
        <w:pStyle w:val="BodyText"/>
        <w:spacing w:line="276" w:lineRule="auto"/>
        <w:ind w:left="120" w:right="90"/>
        <w:rPr>
          <w:lang w:val="es-AR"/>
        </w:rPr>
      </w:pPr>
    </w:p>
    <w:p w14:paraId="081E224F" w14:textId="486D56EE" w:rsidR="00796642" w:rsidRPr="006C6EEF" w:rsidRDefault="00796642" w:rsidP="00796642">
      <w:pPr>
        <w:pStyle w:val="BodyText"/>
        <w:spacing w:line="276" w:lineRule="auto"/>
        <w:ind w:left="120" w:right="90"/>
        <w:rPr>
          <w:lang w:val="es-AR"/>
        </w:rPr>
      </w:pPr>
      <w:r w:rsidRPr="006C6EEF">
        <w:rPr>
          <w:lang w:val="es-AR"/>
        </w:rPr>
        <w:t xml:space="preserve">Según el método </w:t>
      </w:r>
      <w:r w:rsidR="00DF45E5" w:rsidRPr="006C6EEF">
        <w:rPr>
          <w:lang w:val="es-AR"/>
        </w:rPr>
        <w:t xml:space="preserve">retrospectivo </w:t>
      </w:r>
      <w:r w:rsidRPr="006C6EEF">
        <w:rPr>
          <w:lang w:val="es-AR"/>
        </w:rPr>
        <w:t xml:space="preserve">para determinar los </w:t>
      </w:r>
      <w:proofErr w:type="spellStart"/>
      <w:r w:rsidRPr="006C6EEF">
        <w:rPr>
          <w:lang w:val="es-AR"/>
        </w:rPr>
        <w:t>AGB</w:t>
      </w:r>
      <w:proofErr w:type="spellEnd"/>
      <w:r w:rsidRPr="006C6EEF">
        <w:rPr>
          <w:lang w:val="es-AR"/>
        </w:rPr>
        <w:t xml:space="preserve">, </w:t>
      </w:r>
      <w:r w:rsidR="00DF45E5" w:rsidRPr="006C6EEF">
        <w:rPr>
          <w:lang w:val="es-AR"/>
        </w:rPr>
        <w:t>los</w:t>
      </w:r>
      <w:r w:rsidRPr="006C6EEF">
        <w:rPr>
          <w:lang w:val="es-AR"/>
        </w:rPr>
        <w:t xml:space="preserve"> centro</w:t>
      </w:r>
      <w:r w:rsidR="00DF45E5" w:rsidRPr="006C6EEF">
        <w:rPr>
          <w:lang w:val="es-AR"/>
        </w:rPr>
        <w:t>s</w:t>
      </w:r>
      <w:r w:rsidRPr="006C6EEF">
        <w:rPr>
          <w:lang w:val="es-AR"/>
        </w:rPr>
        <w:t xml:space="preserve"> hospitalario</w:t>
      </w:r>
      <w:r w:rsidR="00DF45E5" w:rsidRPr="006C6EEF">
        <w:rPr>
          <w:lang w:val="es-AR"/>
        </w:rPr>
        <w:t>s</w:t>
      </w:r>
      <w:r w:rsidRPr="006C6EEF">
        <w:rPr>
          <w:lang w:val="es-AR"/>
        </w:rPr>
        <w:t xml:space="preserve"> determina</w:t>
      </w:r>
      <w:r w:rsidR="00DF45E5" w:rsidRPr="006C6EEF">
        <w:rPr>
          <w:lang w:val="es-AR"/>
        </w:rPr>
        <w:t xml:space="preserve">n </w:t>
      </w:r>
      <w:r w:rsidRPr="006C6EEF">
        <w:rPr>
          <w:lang w:val="es-AR"/>
        </w:rPr>
        <w:t xml:space="preserve">los </w:t>
      </w:r>
      <w:proofErr w:type="spellStart"/>
      <w:r w:rsidRPr="006C6EEF">
        <w:rPr>
          <w:lang w:val="es-AR"/>
        </w:rPr>
        <w:t>AGB</w:t>
      </w:r>
      <w:proofErr w:type="spellEnd"/>
      <w:r w:rsidRPr="006C6EEF">
        <w:rPr>
          <w:lang w:val="es-AR"/>
        </w:rPr>
        <w:t xml:space="preserve"> de </w:t>
      </w:r>
      <w:r w:rsidR="00DF45E5" w:rsidRPr="006C6EEF">
        <w:rPr>
          <w:lang w:val="es-AR"/>
        </w:rPr>
        <w:t>toda</w:t>
      </w:r>
      <w:r w:rsidRPr="006C6EEF">
        <w:rPr>
          <w:lang w:val="es-AR"/>
        </w:rPr>
        <w:t xml:space="preserve"> atención de </w:t>
      </w:r>
      <w:r w:rsidR="006C6EEF" w:rsidRPr="006C6EEF">
        <w:rPr>
          <w:lang w:val="es-AR"/>
        </w:rPr>
        <w:t xml:space="preserve">urgencia </w:t>
      </w:r>
      <w:r w:rsidRPr="006C6EEF">
        <w:rPr>
          <w:lang w:val="es-AR"/>
        </w:rPr>
        <w:t>u otra atención médica</w:t>
      </w:r>
      <w:r w:rsidR="009C1A09" w:rsidRPr="006C6EEF">
        <w:rPr>
          <w:lang w:val="es-AR"/>
        </w:rPr>
        <w:t xml:space="preserve"> </w:t>
      </w:r>
      <w:r w:rsidRPr="006C6EEF">
        <w:rPr>
          <w:lang w:val="es-AR"/>
        </w:rPr>
        <w:t xml:space="preserve">necesaria </w:t>
      </w:r>
      <w:r w:rsidR="009C1A09" w:rsidRPr="006C6EEF">
        <w:rPr>
          <w:lang w:val="es-AR"/>
        </w:rPr>
        <w:t xml:space="preserve">brindada </w:t>
      </w:r>
      <w:r w:rsidRPr="006C6EEF">
        <w:rPr>
          <w:lang w:val="es-AR"/>
        </w:rPr>
        <w:t xml:space="preserve">a una persona </w:t>
      </w:r>
      <w:r w:rsidR="00DF45E5" w:rsidRPr="006C6EEF">
        <w:rPr>
          <w:lang w:val="es-AR"/>
        </w:rPr>
        <w:t>que cumpla con los criterios de aptitud descritos en la política de ayuda económica (</w:t>
      </w:r>
      <w:proofErr w:type="spellStart"/>
      <w:r w:rsidRPr="006C6EEF">
        <w:rPr>
          <w:lang w:val="es-AR"/>
        </w:rPr>
        <w:t>FAP</w:t>
      </w:r>
      <w:proofErr w:type="spellEnd"/>
      <w:r w:rsidR="00DF45E5" w:rsidRPr="006C6EEF">
        <w:rPr>
          <w:lang w:val="es-AR"/>
        </w:rPr>
        <w:t xml:space="preserve">, en inglés) </w:t>
      </w:r>
      <w:r w:rsidRPr="006C6EEF">
        <w:rPr>
          <w:lang w:val="es-AR"/>
        </w:rPr>
        <w:t xml:space="preserve">multiplicando </w:t>
      </w:r>
      <w:r w:rsidR="00DF45E5" w:rsidRPr="006C6EEF">
        <w:rPr>
          <w:lang w:val="es-AR"/>
        </w:rPr>
        <w:t>sus</w:t>
      </w:r>
      <w:r w:rsidRPr="006C6EEF">
        <w:rPr>
          <w:lang w:val="es-AR"/>
        </w:rPr>
        <w:t xml:space="preserve"> </w:t>
      </w:r>
      <w:r w:rsidR="00524294">
        <w:rPr>
          <w:lang w:val="es-AR"/>
        </w:rPr>
        <w:t>cargos</w:t>
      </w:r>
      <w:r w:rsidRPr="006C6EEF">
        <w:rPr>
          <w:lang w:val="es-AR"/>
        </w:rPr>
        <w:t xml:space="preserve"> brutos por uno o más porcentajes de </w:t>
      </w:r>
      <w:r w:rsidR="00DF45E5" w:rsidRPr="006C6EEF">
        <w:rPr>
          <w:lang w:val="es-AR"/>
        </w:rPr>
        <w:t xml:space="preserve">dichos </w:t>
      </w:r>
      <w:r w:rsidR="00524294">
        <w:rPr>
          <w:lang w:val="es-AR"/>
        </w:rPr>
        <w:t>cargos</w:t>
      </w:r>
      <w:r w:rsidRPr="006C6EEF">
        <w:rPr>
          <w:lang w:val="es-AR"/>
        </w:rPr>
        <w:t xml:space="preserve"> brutos, denominados </w:t>
      </w:r>
      <w:r w:rsidR="009C1A09" w:rsidRPr="006C6EEF">
        <w:rPr>
          <w:lang w:val="es-AR"/>
        </w:rPr>
        <w:t>“</w:t>
      </w:r>
      <w:r w:rsidRPr="006C6EEF">
        <w:rPr>
          <w:lang w:val="es-AR"/>
        </w:rPr>
        <w:t xml:space="preserve">porcentajes </w:t>
      </w:r>
      <w:r w:rsidR="009C1A09" w:rsidRPr="006C6EEF">
        <w:rPr>
          <w:lang w:val="es-AR"/>
        </w:rPr>
        <w:t xml:space="preserve">de los </w:t>
      </w:r>
      <w:proofErr w:type="spellStart"/>
      <w:r w:rsidRPr="006C6EEF">
        <w:rPr>
          <w:lang w:val="es-AR"/>
        </w:rPr>
        <w:t>AGB</w:t>
      </w:r>
      <w:proofErr w:type="spellEnd"/>
      <w:r w:rsidR="009C1A09" w:rsidRPr="006C6EEF">
        <w:rPr>
          <w:lang w:val="es-AR"/>
        </w:rPr>
        <w:t>”</w:t>
      </w:r>
      <w:r w:rsidRPr="006C6EEF">
        <w:rPr>
          <w:lang w:val="es-AR"/>
        </w:rPr>
        <w:t xml:space="preserve">. Los centros hospitalarios deben calcular sus porcentajes </w:t>
      </w:r>
      <w:r w:rsidR="009C1A09" w:rsidRPr="006C6EEF">
        <w:rPr>
          <w:lang w:val="es-AR"/>
        </w:rPr>
        <w:t xml:space="preserve">de los </w:t>
      </w:r>
      <w:proofErr w:type="spellStart"/>
      <w:r w:rsidRPr="006C6EEF">
        <w:rPr>
          <w:lang w:val="es-AR"/>
        </w:rPr>
        <w:t>AGB</w:t>
      </w:r>
      <w:proofErr w:type="spellEnd"/>
      <w:r w:rsidRPr="006C6EEF">
        <w:rPr>
          <w:lang w:val="es-AR"/>
        </w:rPr>
        <w:t xml:space="preserve"> al menos una vez al año dividiendo la suma de los </w:t>
      </w:r>
      <w:r w:rsidR="00DF45E5" w:rsidRPr="006C6EEF">
        <w:rPr>
          <w:lang w:val="es-AR"/>
        </w:rPr>
        <w:t xml:space="preserve">montos correspondientes a </w:t>
      </w:r>
      <w:r w:rsidR="009C1A09" w:rsidRPr="006C6EEF">
        <w:rPr>
          <w:lang w:val="es-AR"/>
        </w:rPr>
        <w:t xml:space="preserve">todas sus reclamaciones </w:t>
      </w:r>
      <w:r w:rsidRPr="006C6EEF">
        <w:rPr>
          <w:lang w:val="es-AR"/>
        </w:rPr>
        <w:t xml:space="preserve">por atención de </w:t>
      </w:r>
      <w:r w:rsidR="006C6EEF" w:rsidRPr="006C6EEF">
        <w:rPr>
          <w:lang w:val="es-AR"/>
        </w:rPr>
        <w:t xml:space="preserve">urgencia </w:t>
      </w:r>
      <w:r w:rsidRPr="006C6EEF">
        <w:rPr>
          <w:lang w:val="es-AR"/>
        </w:rPr>
        <w:t xml:space="preserve">u otra atención médica necesaria que hayan sido autorizadas por determinadas </w:t>
      </w:r>
      <w:r w:rsidR="009C1A09" w:rsidRPr="006C6EEF">
        <w:rPr>
          <w:lang w:val="es-AR"/>
        </w:rPr>
        <w:t xml:space="preserve">compañías de seguros de salud </w:t>
      </w:r>
      <w:r w:rsidRPr="006C6EEF">
        <w:rPr>
          <w:lang w:val="es-AR"/>
        </w:rPr>
        <w:t>durante un per</w:t>
      </w:r>
      <w:r w:rsidR="009C1A09" w:rsidRPr="006C6EEF">
        <w:rPr>
          <w:lang w:val="es-AR"/>
        </w:rPr>
        <w:t>í</w:t>
      </w:r>
      <w:r w:rsidRPr="006C6EEF">
        <w:rPr>
          <w:lang w:val="es-AR"/>
        </w:rPr>
        <w:t xml:space="preserve">odo anterior de 12 meses </w:t>
      </w:r>
      <w:r w:rsidR="00DF45E5" w:rsidRPr="006C6EEF">
        <w:rPr>
          <w:lang w:val="es-AR"/>
        </w:rPr>
        <w:t xml:space="preserve">por </w:t>
      </w:r>
      <w:r w:rsidRPr="006C6EEF">
        <w:rPr>
          <w:lang w:val="es-AR"/>
        </w:rPr>
        <w:t xml:space="preserve">la suma de los </w:t>
      </w:r>
      <w:r w:rsidR="00524294">
        <w:rPr>
          <w:lang w:val="es-AR"/>
        </w:rPr>
        <w:t xml:space="preserve">cargos </w:t>
      </w:r>
      <w:r w:rsidRPr="006C6EEF">
        <w:rPr>
          <w:lang w:val="es-AR"/>
        </w:rPr>
        <w:t xml:space="preserve">brutos asociados a dichas reclamaciones. </w:t>
      </w:r>
      <w:r w:rsidR="009C1A09" w:rsidRPr="006C6EEF">
        <w:rPr>
          <w:lang w:val="es-AR"/>
        </w:rPr>
        <w:t xml:space="preserve">Para calcular los </w:t>
      </w:r>
      <w:proofErr w:type="spellStart"/>
      <w:r w:rsidRPr="006C6EEF">
        <w:rPr>
          <w:lang w:val="es-AR"/>
        </w:rPr>
        <w:t>AGB</w:t>
      </w:r>
      <w:proofErr w:type="spellEnd"/>
      <w:r w:rsidR="009C1A09" w:rsidRPr="006C6EEF">
        <w:rPr>
          <w:lang w:val="es-AR"/>
        </w:rPr>
        <w:t xml:space="preserve">, el </w:t>
      </w:r>
      <w:r w:rsidR="00DF45E5" w:rsidRPr="006C6EEF">
        <w:rPr>
          <w:lang w:val="es-AR"/>
        </w:rPr>
        <w:t>h</w:t>
      </w:r>
      <w:r w:rsidR="009C1A09" w:rsidRPr="006C6EEF">
        <w:rPr>
          <w:lang w:val="es-AR"/>
        </w:rPr>
        <w:t>ospital u</w:t>
      </w:r>
      <w:r w:rsidRPr="006C6EEF">
        <w:rPr>
          <w:lang w:val="es-AR"/>
        </w:rPr>
        <w:t>tiliza</w:t>
      </w:r>
      <w:r w:rsidR="009C1A09" w:rsidRPr="006C6EEF">
        <w:rPr>
          <w:lang w:val="es-AR"/>
        </w:rPr>
        <w:t xml:space="preserve"> </w:t>
      </w:r>
      <w:r w:rsidRPr="006C6EEF">
        <w:rPr>
          <w:lang w:val="es-AR"/>
        </w:rPr>
        <w:t xml:space="preserve">reclamaciones </w:t>
      </w:r>
      <w:r w:rsidR="009C1A09" w:rsidRPr="006C6EEF">
        <w:rPr>
          <w:lang w:val="es-AR"/>
        </w:rPr>
        <w:t xml:space="preserve">comerciales y </w:t>
      </w:r>
      <w:r w:rsidRPr="006C6EEF">
        <w:rPr>
          <w:lang w:val="es-AR"/>
        </w:rPr>
        <w:t>de Medicare.</w:t>
      </w:r>
    </w:p>
    <w:p w14:paraId="5A0E9795" w14:textId="77777777" w:rsidR="00D83123" w:rsidRPr="006C6EEF" w:rsidRDefault="009C1DEF">
      <w:pPr>
        <w:pStyle w:val="BodyText"/>
        <w:spacing w:before="51"/>
        <w:rPr>
          <w:sz w:val="20"/>
          <w:lang w:val="es-AR"/>
        </w:rPr>
      </w:pPr>
      <w:r w:rsidRPr="006C6EEF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5A0E97C8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00763" id="Graphic 4" o:spid="_x0000_s1026" style="position:absolute;margin-left:1in;margin-top:15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0E9796" w14:textId="77777777" w:rsidR="00D83123" w:rsidRPr="006C6EEF" w:rsidRDefault="00D83123">
      <w:pPr>
        <w:pStyle w:val="BodyText"/>
        <w:spacing w:before="91"/>
        <w:rPr>
          <w:lang w:val="es-AR"/>
        </w:rPr>
      </w:pPr>
    </w:p>
    <w:p w14:paraId="5A0E9797" w14:textId="0B1483A3" w:rsidR="00D83123" w:rsidRPr="006C6EEF" w:rsidRDefault="009C1A09">
      <w:pPr>
        <w:ind w:left="120"/>
        <w:rPr>
          <w:b/>
          <w:sz w:val="32"/>
          <w:lang w:val="es-AR"/>
        </w:rPr>
      </w:pPr>
      <w:r w:rsidRPr="006C6EEF">
        <w:rPr>
          <w:b/>
          <w:color w:val="1B1B1B"/>
          <w:sz w:val="32"/>
          <w:highlight w:val="yellow"/>
          <w:lang w:val="es-AR"/>
        </w:rPr>
        <w:t xml:space="preserve">Ejercicio fiscal 2024 correspondiente a los </w:t>
      </w:r>
      <w:proofErr w:type="spellStart"/>
      <w:r w:rsidR="009C1DEF" w:rsidRPr="006C6EEF">
        <w:rPr>
          <w:b/>
          <w:color w:val="1B1B1B"/>
          <w:sz w:val="32"/>
          <w:highlight w:val="yellow"/>
          <w:lang w:val="es-AR"/>
        </w:rPr>
        <w:t>AGB</w:t>
      </w:r>
      <w:proofErr w:type="spellEnd"/>
      <w:r w:rsidR="009C1DEF" w:rsidRPr="006C6EEF">
        <w:rPr>
          <w:b/>
          <w:color w:val="1B1B1B"/>
          <w:spacing w:val="-9"/>
          <w:sz w:val="32"/>
          <w:highlight w:val="yellow"/>
          <w:lang w:val="es-AR"/>
        </w:rPr>
        <w:t xml:space="preserve"> </w:t>
      </w:r>
      <w:r w:rsidR="009C1DEF" w:rsidRPr="006C6EEF">
        <w:rPr>
          <w:b/>
          <w:color w:val="1B1B1B"/>
          <w:sz w:val="32"/>
          <w:highlight w:val="yellow"/>
          <w:lang w:val="es-AR"/>
        </w:rPr>
        <w:t>(</w:t>
      </w:r>
      <w:r w:rsidRPr="006C6EEF">
        <w:rPr>
          <w:b/>
          <w:color w:val="1B1B1B"/>
          <w:sz w:val="32"/>
          <w:highlight w:val="yellow"/>
          <w:lang w:val="es-AR"/>
        </w:rPr>
        <w:t>1 de octubre de</w:t>
      </w:r>
      <w:r w:rsidR="009C1DEF" w:rsidRPr="006C6EEF">
        <w:rPr>
          <w:b/>
          <w:color w:val="1B1B1B"/>
          <w:spacing w:val="-7"/>
          <w:sz w:val="32"/>
          <w:highlight w:val="yellow"/>
          <w:lang w:val="es-AR"/>
        </w:rPr>
        <w:t xml:space="preserve"> </w:t>
      </w:r>
      <w:r w:rsidR="009C1DEF" w:rsidRPr="006C6EEF">
        <w:rPr>
          <w:b/>
          <w:color w:val="1B1B1B"/>
          <w:sz w:val="32"/>
          <w:highlight w:val="yellow"/>
          <w:lang w:val="es-AR"/>
        </w:rPr>
        <w:t>202</w:t>
      </w:r>
      <w:r w:rsidR="003A55D9" w:rsidRPr="006C6EEF">
        <w:rPr>
          <w:b/>
          <w:color w:val="1B1B1B"/>
          <w:sz w:val="32"/>
          <w:highlight w:val="yellow"/>
          <w:lang w:val="es-AR"/>
        </w:rPr>
        <w:t>3</w:t>
      </w:r>
      <w:r w:rsidR="009C1DEF" w:rsidRPr="006C6EEF">
        <w:rPr>
          <w:b/>
          <w:color w:val="1B1B1B"/>
          <w:spacing w:val="-9"/>
          <w:sz w:val="32"/>
          <w:highlight w:val="yellow"/>
          <w:lang w:val="es-AR"/>
        </w:rPr>
        <w:t xml:space="preserve"> </w:t>
      </w:r>
      <w:r w:rsidR="009C1DEF" w:rsidRPr="006C6EEF">
        <w:rPr>
          <w:b/>
          <w:color w:val="1B1B1B"/>
          <w:sz w:val="32"/>
          <w:highlight w:val="yellow"/>
          <w:lang w:val="es-AR"/>
        </w:rPr>
        <w:t>–30</w:t>
      </w:r>
      <w:r w:rsidR="009C1DEF" w:rsidRPr="006C6EEF">
        <w:rPr>
          <w:b/>
          <w:color w:val="1B1B1B"/>
          <w:spacing w:val="-7"/>
          <w:sz w:val="32"/>
          <w:highlight w:val="yellow"/>
          <w:lang w:val="es-AR"/>
        </w:rPr>
        <w:t xml:space="preserve"> </w:t>
      </w:r>
      <w:r w:rsidRPr="006C6EEF">
        <w:rPr>
          <w:b/>
          <w:color w:val="1B1B1B"/>
          <w:spacing w:val="-7"/>
          <w:sz w:val="32"/>
          <w:highlight w:val="yellow"/>
          <w:lang w:val="es-AR"/>
        </w:rPr>
        <w:t xml:space="preserve">de septiembre de </w:t>
      </w:r>
      <w:r w:rsidR="009C1DEF" w:rsidRPr="006C6EEF">
        <w:rPr>
          <w:b/>
          <w:color w:val="1B1B1B"/>
          <w:spacing w:val="-2"/>
          <w:sz w:val="32"/>
          <w:highlight w:val="yellow"/>
          <w:lang w:val="es-AR"/>
        </w:rPr>
        <w:t>202</w:t>
      </w:r>
      <w:r w:rsidR="003A55D9" w:rsidRPr="006C6EEF">
        <w:rPr>
          <w:b/>
          <w:color w:val="1B1B1B"/>
          <w:spacing w:val="-2"/>
          <w:sz w:val="32"/>
          <w:highlight w:val="yellow"/>
          <w:lang w:val="es-AR"/>
        </w:rPr>
        <w:t>4</w:t>
      </w:r>
      <w:r w:rsidR="009C1DEF" w:rsidRPr="006C6EEF">
        <w:rPr>
          <w:b/>
          <w:color w:val="1B1B1B"/>
          <w:spacing w:val="-2"/>
          <w:sz w:val="32"/>
          <w:highlight w:val="yellow"/>
          <w:lang w:val="es-AR"/>
        </w:rPr>
        <w:t>)</w:t>
      </w:r>
    </w:p>
    <w:p w14:paraId="5A0E9798" w14:textId="13FA53EB" w:rsidR="00D83123" w:rsidRPr="006C6EEF" w:rsidRDefault="004D0FE9">
      <w:pPr>
        <w:pStyle w:val="BodyText"/>
        <w:spacing w:before="35" w:after="1"/>
        <w:rPr>
          <w:b/>
          <w:sz w:val="20"/>
          <w:lang w:val="es-AR"/>
        </w:rPr>
      </w:pPr>
      <w:r w:rsidRPr="006C6EEF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8CC83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23"/>
        <w:gridCol w:w="2329"/>
        <w:gridCol w:w="2348"/>
      </w:tblGrid>
      <w:tr w:rsidR="00831AFC" w:rsidRPr="000A7099" w14:paraId="20CBCDFC" w14:textId="77777777" w:rsidTr="00F2155B">
        <w:tc>
          <w:tcPr>
            <w:tcW w:w="2350" w:type="dxa"/>
          </w:tcPr>
          <w:p w14:paraId="4D5465AD" w14:textId="77777777" w:rsidR="00831AFC" w:rsidRPr="00153E3D" w:rsidRDefault="00831AFC" w:rsidP="00F2155B">
            <w:pPr>
              <w:rPr>
                <w:lang w:val="es-419"/>
              </w:rPr>
            </w:pPr>
            <w:r>
              <w:rPr>
                <w:lang w:val="es-419"/>
              </w:rPr>
              <w:t>Servicio</w:t>
            </w:r>
          </w:p>
        </w:tc>
        <w:tc>
          <w:tcPr>
            <w:tcW w:w="2323" w:type="dxa"/>
          </w:tcPr>
          <w:p w14:paraId="39CD7630" w14:textId="77777777" w:rsidR="00831AFC" w:rsidRPr="00153E3D" w:rsidRDefault="00831AFC" w:rsidP="00F2155B">
            <w:pPr>
              <w:rPr>
                <w:lang w:val="es-419"/>
              </w:rPr>
            </w:pPr>
            <w:r>
              <w:rPr>
                <w:lang w:val="es-419"/>
              </w:rPr>
              <w:t>Cargos</w:t>
            </w:r>
            <w:r w:rsidRPr="00153E3D">
              <w:rPr>
                <w:lang w:val="es-419"/>
              </w:rPr>
              <w:t xml:space="preserve"> total</w:t>
            </w:r>
            <w:r>
              <w:rPr>
                <w:lang w:val="es-419"/>
              </w:rPr>
              <w:t>es</w:t>
            </w:r>
          </w:p>
        </w:tc>
        <w:tc>
          <w:tcPr>
            <w:tcW w:w="2329" w:type="dxa"/>
          </w:tcPr>
          <w:p w14:paraId="1A3BEF33" w14:textId="77777777" w:rsidR="00831AFC" w:rsidRPr="00153E3D" w:rsidRDefault="00831AFC" w:rsidP="00F2155B">
            <w:pPr>
              <w:rPr>
                <w:lang w:val="es-419"/>
              </w:rPr>
            </w:pPr>
            <w:r>
              <w:rPr>
                <w:lang w:val="es-419"/>
              </w:rPr>
              <w:t xml:space="preserve">Monto </w:t>
            </w:r>
            <w:r w:rsidRPr="00153E3D">
              <w:rPr>
                <w:lang w:val="es-419"/>
              </w:rPr>
              <w:t>total</w:t>
            </w:r>
            <w:r>
              <w:rPr>
                <w:lang w:val="es-419"/>
              </w:rPr>
              <w:t xml:space="preserve"> recibido</w:t>
            </w:r>
          </w:p>
        </w:tc>
        <w:tc>
          <w:tcPr>
            <w:tcW w:w="2348" w:type="dxa"/>
          </w:tcPr>
          <w:p w14:paraId="08543040" w14:textId="77777777" w:rsidR="00831AFC" w:rsidRPr="00153E3D" w:rsidRDefault="00831AFC" w:rsidP="00F2155B">
            <w:pPr>
              <w:rPr>
                <w:lang w:val="es-419"/>
              </w:rPr>
            </w:pPr>
            <w:r w:rsidRPr="00153E3D">
              <w:rPr>
                <w:lang w:val="es-419"/>
              </w:rPr>
              <w:t xml:space="preserve">Porcentaje </w:t>
            </w:r>
            <w:r>
              <w:rPr>
                <w:lang w:val="es-419"/>
              </w:rPr>
              <w:t xml:space="preserve">de los </w:t>
            </w:r>
            <w:proofErr w:type="spellStart"/>
            <w:r w:rsidRPr="00153E3D">
              <w:rPr>
                <w:lang w:val="es-419"/>
              </w:rPr>
              <w:t>AGB</w:t>
            </w:r>
            <w:proofErr w:type="spellEnd"/>
            <w:r w:rsidRPr="00153E3D">
              <w:rPr>
                <w:lang w:val="es-419"/>
              </w:rPr>
              <w:t xml:space="preserve"> (descuento)</w:t>
            </w:r>
          </w:p>
        </w:tc>
      </w:tr>
      <w:tr w:rsidR="00831AFC" w:rsidRPr="00153E3D" w14:paraId="2A2D9628" w14:textId="77777777" w:rsidTr="00F2155B">
        <w:tc>
          <w:tcPr>
            <w:tcW w:w="2350" w:type="dxa"/>
          </w:tcPr>
          <w:p w14:paraId="45AA0201" w14:textId="77777777" w:rsidR="00831AFC" w:rsidRPr="00153E3D" w:rsidRDefault="00831AFC" w:rsidP="00F2155B">
            <w:pPr>
              <w:rPr>
                <w:lang w:val="es-419"/>
              </w:rPr>
            </w:pPr>
            <w:r w:rsidRPr="00153E3D">
              <w:rPr>
                <w:lang w:val="es-419"/>
              </w:rPr>
              <w:t xml:space="preserve">Todos los demás servicios </w:t>
            </w:r>
          </w:p>
        </w:tc>
        <w:tc>
          <w:tcPr>
            <w:tcW w:w="2323" w:type="dxa"/>
          </w:tcPr>
          <w:p w14:paraId="261BC8D1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$1,585,676,714</w:t>
            </w:r>
          </w:p>
        </w:tc>
        <w:tc>
          <w:tcPr>
            <w:tcW w:w="2329" w:type="dxa"/>
          </w:tcPr>
          <w:p w14:paraId="12F3B559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 xml:space="preserve">$362,009,182 </w:t>
            </w:r>
          </w:p>
        </w:tc>
        <w:tc>
          <w:tcPr>
            <w:tcW w:w="2348" w:type="dxa"/>
          </w:tcPr>
          <w:p w14:paraId="2A80CC62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77%</w:t>
            </w:r>
          </w:p>
        </w:tc>
      </w:tr>
      <w:tr w:rsidR="00831AFC" w:rsidRPr="00153E3D" w14:paraId="616DC9B4" w14:textId="77777777" w:rsidTr="00F2155B">
        <w:tc>
          <w:tcPr>
            <w:tcW w:w="2350" w:type="dxa"/>
          </w:tcPr>
          <w:p w14:paraId="31E64C1B" w14:textId="77777777" w:rsidR="00831AFC" w:rsidRPr="00153E3D" w:rsidRDefault="00831AFC" w:rsidP="00F2155B">
            <w:pPr>
              <w:rPr>
                <w:lang w:val="es-419"/>
              </w:rPr>
            </w:pPr>
            <w:r>
              <w:rPr>
                <w:lang w:val="es-419"/>
              </w:rPr>
              <w:t>Urgencias</w:t>
            </w:r>
          </w:p>
        </w:tc>
        <w:tc>
          <w:tcPr>
            <w:tcW w:w="2323" w:type="dxa"/>
          </w:tcPr>
          <w:p w14:paraId="6B027DE6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$397,103,906</w:t>
            </w:r>
          </w:p>
        </w:tc>
        <w:tc>
          <w:tcPr>
            <w:tcW w:w="2329" w:type="dxa"/>
          </w:tcPr>
          <w:p w14:paraId="59A4D571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 xml:space="preserve">$75,900,759 </w:t>
            </w:r>
          </w:p>
        </w:tc>
        <w:tc>
          <w:tcPr>
            <w:tcW w:w="2348" w:type="dxa"/>
          </w:tcPr>
          <w:p w14:paraId="239D37AE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81%</w:t>
            </w:r>
          </w:p>
        </w:tc>
      </w:tr>
      <w:tr w:rsidR="00831AFC" w:rsidRPr="00153E3D" w14:paraId="42937BEE" w14:textId="77777777" w:rsidTr="00F2155B">
        <w:tc>
          <w:tcPr>
            <w:tcW w:w="2350" w:type="dxa"/>
          </w:tcPr>
          <w:p w14:paraId="4BDFE0C5" w14:textId="77777777" w:rsidR="00831AFC" w:rsidRPr="00153E3D" w:rsidRDefault="00831AFC" w:rsidP="00F2155B">
            <w:pPr>
              <w:rPr>
                <w:lang w:val="es-419"/>
              </w:rPr>
            </w:pPr>
            <w:r w:rsidRPr="00153E3D">
              <w:rPr>
                <w:lang w:val="es-419"/>
              </w:rPr>
              <w:t>Laboratorio</w:t>
            </w:r>
          </w:p>
        </w:tc>
        <w:tc>
          <w:tcPr>
            <w:tcW w:w="2323" w:type="dxa"/>
          </w:tcPr>
          <w:p w14:paraId="66BED25C" w14:textId="77777777" w:rsidR="00831AFC" w:rsidRPr="00153E3D" w:rsidRDefault="00831AFC" w:rsidP="00F2155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s-419"/>
              </w:rPr>
            </w:pPr>
            <w:r w:rsidRPr="00EF6DA2">
              <w:t>$167,593,447</w:t>
            </w:r>
          </w:p>
        </w:tc>
        <w:tc>
          <w:tcPr>
            <w:tcW w:w="2329" w:type="dxa"/>
          </w:tcPr>
          <w:p w14:paraId="419909BC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 xml:space="preserve">$12,636,543 </w:t>
            </w:r>
          </w:p>
        </w:tc>
        <w:tc>
          <w:tcPr>
            <w:tcW w:w="2348" w:type="dxa"/>
          </w:tcPr>
          <w:p w14:paraId="271743DF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92%</w:t>
            </w:r>
          </w:p>
        </w:tc>
      </w:tr>
      <w:tr w:rsidR="00831AFC" w:rsidRPr="00153E3D" w14:paraId="3477FFAF" w14:textId="77777777" w:rsidTr="00F2155B">
        <w:tc>
          <w:tcPr>
            <w:tcW w:w="2350" w:type="dxa"/>
          </w:tcPr>
          <w:p w14:paraId="2F0642F6" w14:textId="77777777" w:rsidR="00831AFC" w:rsidRPr="00153E3D" w:rsidRDefault="00831AFC" w:rsidP="00F2155B">
            <w:pPr>
              <w:rPr>
                <w:lang w:val="es-419"/>
              </w:rPr>
            </w:pPr>
            <w:r w:rsidRPr="00153E3D">
              <w:rPr>
                <w:lang w:val="es-419"/>
              </w:rPr>
              <w:t xml:space="preserve">Oncología </w:t>
            </w:r>
            <w:r>
              <w:rPr>
                <w:lang w:val="es-419"/>
              </w:rPr>
              <w:t>M</w:t>
            </w:r>
            <w:r w:rsidRPr="00153E3D">
              <w:rPr>
                <w:lang w:val="es-419"/>
              </w:rPr>
              <w:t>édica</w:t>
            </w:r>
          </w:p>
        </w:tc>
        <w:tc>
          <w:tcPr>
            <w:tcW w:w="2323" w:type="dxa"/>
          </w:tcPr>
          <w:p w14:paraId="1E43A79E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$294,254,027</w:t>
            </w:r>
          </w:p>
        </w:tc>
        <w:tc>
          <w:tcPr>
            <w:tcW w:w="2329" w:type="dxa"/>
          </w:tcPr>
          <w:p w14:paraId="2482207B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 xml:space="preserve">$55,251,245 </w:t>
            </w:r>
          </w:p>
        </w:tc>
        <w:tc>
          <w:tcPr>
            <w:tcW w:w="2348" w:type="dxa"/>
          </w:tcPr>
          <w:p w14:paraId="2F24DE7C" w14:textId="77777777" w:rsidR="00831AFC" w:rsidRPr="00153E3D" w:rsidRDefault="00831AFC" w:rsidP="00F2155B">
            <w:pPr>
              <w:rPr>
                <w:lang w:val="es-419"/>
              </w:rPr>
            </w:pPr>
            <w:r w:rsidRPr="00773BE4">
              <w:t>81%</w:t>
            </w:r>
          </w:p>
        </w:tc>
      </w:tr>
      <w:tr w:rsidR="00831AFC" w:rsidRPr="00153E3D" w14:paraId="48A8DC6A" w14:textId="77777777" w:rsidTr="00F2155B">
        <w:tc>
          <w:tcPr>
            <w:tcW w:w="2350" w:type="dxa"/>
          </w:tcPr>
          <w:p w14:paraId="7A989EBC" w14:textId="77777777" w:rsidR="00831AFC" w:rsidRPr="00153E3D" w:rsidRDefault="00831AFC" w:rsidP="00F2155B">
            <w:pPr>
              <w:rPr>
                <w:lang w:val="es-419"/>
              </w:rPr>
            </w:pPr>
            <w:r w:rsidRPr="00153E3D">
              <w:rPr>
                <w:lang w:val="es-419"/>
              </w:rPr>
              <w:t xml:space="preserve">Cirugía </w:t>
            </w:r>
            <w:r>
              <w:rPr>
                <w:lang w:val="es-419"/>
              </w:rPr>
              <w:t>A</w:t>
            </w:r>
            <w:r w:rsidRPr="00153E3D">
              <w:rPr>
                <w:lang w:val="es-419"/>
              </w:rPr>
              <w:t>mbulatoria</w:t>
            </w:r>
          </w:p>
        </w:tc>
        <w:tc>
          <w:tcPr>
            <w:tcW w:w="2323" w:type="dxa"/>
          </w:tcPr>
          <w:p w14:paraId="4C0E7B0C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$606,662,883</w:t>
            </w:r>
          </w:p>
        </w:tc>
        <w:tc>
          <w:tcPr>
            <w:tcW w:w="2329" w:type="dxa"/>
          </w:tcPr>
          <w:p w14:paraId="629352CD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 xml:space="preserve">$157,693,998 </w:t>
            </w:r>
          </w:p>
        </w:tc>
        <w:tc>
          <w:tcPr>
            <w:tcW w:w="2348" w:type="dxa"/>
          </w:tcPr>
          <w:p w14:paraId="48DC5B56" w14:textId="77777777" w:rsidR="00831AFC" w:rsidRPr="00153E3D" w:rsidRDefault="00831AFC" w:rsidP="00F2155B">
            <w:pPr>
              <w:rPr>
                <w:lang w:val="es-419"/>
              </w:rPr>
            </w:pPr>
            <w:r w:rsidRPr="00773BE4">
              <w:t>74%</w:t>
            </w:r>
          </w:p>
        </w:tc>
      </w:tr>
      <w:tr w:rsidR="00831AFC" w:rsidRPr="00153E3D" w14:paraId="49DB4A0D" w14:textId="77777777" w:rsidTr="00F2155B">
        <w:tc>
          <w:tcPr>
            <w:tcW w:w="2350" w:type="dxa"/>
          </w:tcPr>
          <w:p w14:paraId="111CB71C" w14:textId="77777777" w:rsidR="00831AFC" w:rsidRPr="00153E3D" w:rsidRDefault="00831AFC" w:rsidP="00F2155B">
            <w:pPr>
              <w:rPr>
                <w:lang w:val="es-419"/>
              </w:rPr>
            </w:pPr>
            <w:r w:rsidRPr="00153E3D">
              <w:rPr>
                <w:lang w:val="es-419"/>
              </w:rPr>
              <w:t>Radiología</w:t>
            </w:r>
          </w:p>
        </w:tc>
        <w:tc>
          <w:tcPr>
            <w:tcW w:w="2323" w:type="dxa"/>
          </w:tcPr>
          <w:p w14:paraId="15A97688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>$370,347,428</w:t>
            </w:r>
          </w:p>
        </w:tc>
        <w:tc>
          <w:tcPr>
            <w:tcW w:w="2329" w:type="dxa"/>
          </w:tcPr>
          <w:p w14:paraId="2134EC37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t xml:space="preserve">$63,649,190 </w:t>
            </w:r>
          </w:p>
        </w:tc>
        <w:tc>
          <w:tcPr>
            <w:tcW w:w="2348" w:type="dxa"/>
          </w:tcPr>
          <w:p w14:paraId="0656C54A" w14:textId="77777777" w:rsidR="00831AFC" w:rsidRPr="00153E3D" w:rsidRDefault="00831AFC" w:rsidP="00F2155B">
            <w:pPr>
              <w:rPr>
                <w:lang w:val="es-419"/>
              </w:rPr>
            </w:pPr>
            <w:r w:rsidRPr="00773BE4">
              <w:t>83%</w:t>
            </w:r>
          </w:p>
        </w:tc>
      </w:tr>
      <w:tr w:rsidR="00831AFC" w:rsidRPr="00153E3D" w14:paraId="51558D92" w14:textId="77777777" w:rsidTr="00F2155B">
        <w:tc>
          <w:tcPr>
            <w:tcW w:w="2350" w:type="dxa"/>
          </w:tcPr>
          <w:p w14:paraId="7CB4A7F7" w14:textId="77777777" w:rsidR="00831AFC" w:rsidRPr="00EC2E35" w:rsidRDefault="00831AFC" w:rsidP="00F2155B">
            <w:pPr>
              <w:rPr>
                <w:b/>
                <w:bCs/>
                <w:lang w:val="es-419"/>
              </w:rPr>
            </w:pPr>
            <w:proofErr w:type="gramStart"/>
            <w:r w:rsidRPr="00EC2E35">
              <w:rPr>
                <w:b/>
                <w:bCs/>
                <w:lang w:val="es-419"/>
              </w:rPr>
              <w:t>Total</w:t>
            </w:r>
            <w:proofErr w:type="gramEnd"/>
            <w:r w:rsidRPr="00EC2E35">
              <w:rPr>
                <w:b/>
                <w:bCs/>
                <w:lang w:val="es-419"/>
              </w:rPr>
              <w:t xml:space="preserve"> general</w:t>
            </w:r>
          </w:p>
        </w:tc>
        <w:tc>
          <w:tcPr>
            <w:tcW w:w="2323" w:type="dxa"/>
          </w:tcPr>
          <w:p w14:paraId="399CA75E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329" w:type="dxa"/>
          </w:tcPr>
          <w:p w14:paraId="49CD85B5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48" w:type="dxa"/>
          </w:tcPr>
          <w:p w14:paraId="6C8F524F" w14:textId="77777777" w:rsidR="00831AFC" w:rsidRPr="00153E3D" w:rsidRDefault="00831AFC" w:rsidP="00F2155B">
            <w:pPr>
              <w:rPr>
                <w:lang w:val="es-419"/>
              </w:rPr>
            </w:pPr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64DB54E3" w:rsidR="009C1DEF" w:rsidRPr="00831AFC" w:rsidRDefault="009C1DEF">
      <w:pPr>
        <w:rPr>
          <w:lang w:val="es-AR"/>
        </w:rPr>
      </w:pPr>
    </w:p>
    <w:sectPr w:rsidR="009C1DEF" w:rsidRPr="00831AFC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899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63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050DE6"/>
    <w:rsid w:val="00173C04"/>
    <w:rsid w:val="002638B0"/>
    <w:rsid w:val="002B1E4D"/>
    <w:rsid w:val="003439ED"/>
    <w:rsid w:val="003A55D9"/>
    <w:rsid w:val="003E0EDB"/>
    <w:rsid w:val="00447B09"/>
    <w:rsid w:val="004B5893"/>
    <w:rsid w:val="004D0FE9"/>
    <w:rsid w:val="00524294"/>
    <w:rsid w:val="00542183"/>
    <w:rsid w:val="005E20B0"/>
    <w:rsid w:val="006A6381"/>
    <w:rsid w:val="006C6EEF"/>
    <w:rsid w:val="006F6F52"/>
    <w:rsid w:val="00796642"/>
    <w:rsid w:val="00831AFC"/>
    <w:rsid w:val="009C1A09"/>
    <w:rsid w:val="009C1DEF"/>
    <w:rsid w:val="009D077F"/>
    <w:rsid w:val="00AB6A8C"/>
    <w:rsid w:val="00B212BB"/>
    <w:rsid w:val="00C10BDE"/>
    <w:rsid w:val="00D83123"/>
    <w:rsid w:val="00D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7D7203B6-FD73-4916-A192-0D23DCF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4D"/>
    <w:rPr>
      <w:rFonts w:ascii="Tahoma" w:eastAsia="Cambria Math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1AFC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31AFC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2025-06-04T20:32:00Z</dcterms:created>
  <dcterms:modified xsi:type="dcterms:W3CDTF">2025-06-04T20:32:00Z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